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FE" w:rsidRPr="00162FFB" w:rsidRDefault="005715FE" w:rsidP="005715FE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62FFB">
        <w:rPr>
          <w:rFonts w:ascii="Edwardian Script ITC" w:eastAsia="Times New Roman" w:hAnsi="Edwardian Script ITC" w:cs="Times New Roman"/>
          <w:b/>
          <w:sz w:val="56"/>
          <w:szCs w:val="56"/>
        </w:rPr>
        <w:t xml:space="preserve">    </w:t>
      </w:r>
      <w:r w:rsidRPr="00162FFB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Oficina de Acceso a la Información</w:t>
      </w:r>
      <w:r w:rsidRPr="00162FFB">
        <w:rPr>
          <w:rFonts w:ascii="Times New Roman" w:eastAsia="Times New Roman" w:hAnsi="Times New Roman" w:cs="Times New Roman"/>
          <w:color w:val="0070C0"/>
          <w:sz w:val="40"/>
          <w:szCs w:val="40"/>
        </w:rPr>
        <w:t xml:space="preserve"> </w:t>
      </w:r>
      <w:r w:rsidRPr="00162FFB">
        <w:rPr>
          <w:rFonts w:ascii="Times New Roman" w:eastAsia="Times New Roman" w:hAnsi="Times New Roman" w:cs="Times New Roman"/>
          <w:color w:val="0070C0"/>
          <w:sz w:val="24"/>
          <w:szCs w:val="24"/>
        </w:rPr>
        <w:t>(OAI)</w:t>
      </w:r>
    </w:p>
    <w:p w:rsidR="005715FE" w:rsidRPr="00162FFB" w:rsidRDefault="005715FE" w:rsidP="005715FE">
      <w:pPr>
        <w:tabs>
          <w:tab w:val="left" w:pos="930"/>
          <w:tab w:val="center" w:pos="4779"/>
        </w:tabs>
        <w:spacing w:after="0" w:line="180" w:lineRule="atLeas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62FFB">
        <w:rPr>
          <w:rFonts w:ascii="Times New Roman" w:eastAsia="Times New Roman" w:hAnsi="Times New Roman" w:cs="Times New Roman"/>
          <w:sz w:val="24"/>
          <w:szCs w:val="24"/>
        </w:rPr>
        <w:tab/>
      </w:r>
      <w:r w:rsidRPr="00162FF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Ofic.: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809-578-2622 (ext. 255) – </w:t>
      </w:r>
      <w:proofErr w:type="spell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Pág</w:t>
      </w:r>
      <w:proofErr w:type="spell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>Web.:</w:t>
      </w:r>
      <w:proofErr w:type="gramEnd"/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95517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www.coraamoca.gob.do</w:t>
        </w:r>
      </w:hyperlink>
    </w:p>
    <w:p w:rsidR="005715FE" w:rsidRPr="00162FFB" w:rsidRDefault="005715FE" w:rsidP="005715FE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2F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RAI: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2FFB">
        <w:rPr>
          <w:rFonts w:ascii="Edwardian Script ITC" w:eastAsia="Times New Roman" w:hAnsi="Edwardian Script ITC" w:cs="Times New Roman"/>
          <w:sz w:val="36"/>
          <w:szCs w:val="36"/>
        </w:rPr>
        <w:t>Licda. Patricia Ramos R</w:t>
      </w:r>
      <w:r w:rsidRPr="00162FFB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Pr="00162FFB">
        <w:rPr>
          <w:rFonts w:ascii="Times New Roman" w:eastAsia="Times New Roman" w:hAnsi="Times New Roman" w:cs="Times New Roman"/>
        </w:rPr>
        <w:t xml:space="preserve">Correo: </w:t>
      </w:r>
      <w:hyperlink r:id="rId8" w:history="1">
        <w:r w:rsidRPr="00955178">
          <w:rPr>
            <w:rFonts w:ascii="Times New Roman" w:eastAsia="Times New Roman" w:hAnsi="Times New Roman" w:cs="Times New Roman"/>
            <w:color w:val="0000FF"/>
            <w:u w:val="single"/>
          </w:rPr>
          <w:t>oaicoraamoca@gmail.com</w:t>
        </w:r>
      </w:hyperlink>
    </w:p>
    <w:p w:rsidR="004C7A1A" w:rsidRDefault="004C7A1A" w:rsidP="005715FE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</w:p>
    <w:p w:rsidR="005715FE" w:rsidRDefault="004C7A1A" w:rsidP="005715FE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</w:t>
      </w:r>
      <w:r w:rsidR="005715FE">
        <w:rPr>
          <w:rFonts w:ascii="Baskerville Old Face" w:hAnsi="Baskerville Old Face"/>
          <w:sz w:val="24"/>
          <w:szCs w:val="24"/>
        </w:rPr>
        <w:t>stadística de Gestión del Área de Acceso a la Información pública</w:t>
      </w:r>
    </w:p>
    <w:p w:rsidR="005715FE" w:rsidRDefault="005715FE" w:rsidP="005715FE">
      <w:pPr>
        <w:spacing w:after="0" w:line="240" w:lineRule="auto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Período </w:t>
      </w:r>
      <w:r w:rsidR="007674DB">
        <w:rPr>
          <w:rFonts w:ascii="Baskerville Old Face" w:hAnsi="Baskerville Old Face"/>
          <w:sz w:val="24"/>
          <w:szCs w:val="24"/>
        </w:rPr>
        <w:t>JULIO-SEPTIEMBRE</w:t>
      </w:r>
      <w:r>
        <w:rPr>
          <w:rFonts w:ascii="Baskerville Old Face" w:hAnsi="Baskerville Old Face"/>
          <w:sz w:val="24"/>
          <w:szCs w:val="24"/>
        </w:rPr>
        <w:t>, de 2025.</w:t>
      </w:r>
    </w:p>
    <w:p w:rsidR="005715FE" w:rsidRPr="00955178" w:rsidRDefault="005715FE" w:rsidP="005715FE">
      <w:pPr>
        <w:spacing w:after="0" w:line="240" w:lineRule="auto"/>
        <w:jc w:val="center"/>
        <w:rPr>
          <w:rFonts w:ascii="Baskerville Old Face" w:hAnsi="Baskerville Old Face"/>
          <w:sz w:val="16"/>
          <w:szCs w:val="16"/>
        </w:rPr>
      </w:pPr>
    </w:p>
    <w:p w:rsidR="005715FE" w:rsidRPr="00002597" w:rsidRDefault="005715FE" w:rsidP="005715FE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En el período de gestión </w:t>
      </w:r>
      <w:r w:rsidR="004C7A1A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JULIO-SEPTIEMBRE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 xml:space="preserve"> de 2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02</w:t>
      </w:r>
      <w:r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5</w:t>
      </w:r>
      <w:r w:rsidRPr="00002597">
        <w:rPr>
          <w:rFonts w:ascii="Baskerville Old Face" w:eastAsia="Times New Roman" w:hAnsi="Baskerville Old Face" w:cs="Times New Roman"/>
          <w:b/>
          <w:bCs/>
          <w:sz w:val="24"/>
          <w:szCs w:val="24"/>
        </w:rPr>
        <w:t>,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la OAI recibió </w:t>
      </w:r>
      <w:r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CERO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 xml:space="preserve"> (</w:t>
      </w:r>
      <w:r>
        <w:rPr>
          <w:rFonts w:ascii="Baskerville Old Face" w:eastAsia="Times New Roman" w:hAnsi="Baskerville Old Face" w:cs="Times New Roman"/>
          <w:color w:val="0070C0"/>
          <w:sz w:val="24"/>
          <w:szCs w:val="24"/>
        </w:rPr>
        <w:t>0</w:t>
      </w:r>
      <w:r w:rsidRPr="00002597">
        <w:rPr>
          <w:rFonts w:ascii="Baskerville Old Face" w:eastAsia="Times New Roman" w:hAnsi="Baskerville Old Face" w:cs="Times New Roman"/>
          <w:color w:val="0070C0"/>
          <w:sz w:val="24"/>
          <w:szCs w:val="24"/>
        </w:rPr>
        <w:t xml:space="preserve">)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solicitudes de información, </w:t>
      </w:r>
      <w:r>
        <w:rPr>
          <w:rFonts w:ascii="Baskerville Old Face" w:eastAsia="Times New Roman" w:hAnsi="Baskerville Old Face" w:cs="Times New Roman"/>
          <w:sz w:val="24"/>
          <w:szCs w:val="24"/>
        </w:rPr>
        <w:t>de manera física/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personal</w:t>
      </w:r>
      <w:r>
        <w:rPr>
          <w:rFonts w:ascii="Baskerville Old Face" w:eastAsia="Times New Roman" w:hAnsi="Baskerville Old Face" w:cs="Times New Roman"/>
          <w:sz w:val="24"/>
          <w:szCs w:val="24"/>
        </w:rPr>
        <w:t>;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r w:rsidR="004C7A1A">
        <w:rPr>
          <w:rFonts w:ascii="Baskerville Old Face" w:eastAsia="Times New Roman" w:hAnsi="Baskerville Old Face" w:cs="Times New Roman"/>
          <w:sz w:val="24"/>
          <w:szCs w:val="24"/>
        </w:rPr>
        <w:t xml:space="preserve">recibió </w:t>
      </w:r>
      <w:r w:rsidR="004C7A1A" w:rsidRPr="004C7A1A">
        <w:rPr>
          <w:rFonts w:ascii="Baskerville Old Face" w:eastAsia="Times New Roman" w:hAnsi="Baskerville Old Face" w:cs="Times New Roman"/>
          <w:b/>
          <w:color w:val="5B9BD5" w:themeColor="accent1"/>
          <w:sz w:val="24"/>
          <w:szCs w:val="24"/>
        </w:rPr>
        <w:t>UNA (1)</w:t>
      </w:r>
      <w:r w:rsidR="004C7A1A" w:rsidRPr="004C7A1A">
        <w:rPr>
          <w:rFonts w:ascii="Baskerville Old Face" w:eastAsia="Times New Roman" w:hAnsi="Baskerville Old Face" w:cs="Times New Roman"/>
          <w:color w:val="5B9BD5" w:themeColor="accent1"/>
          <w:sz w:val="24"/>
          <w:szCs w:val="24"/>
        </w:rPr>
        <w:t xml:space="preserve"> </w:t>
      </w:r>
      <w:r w:rsidR="004C7A1A">
        <w:rPr>
          <w:rFonts w:ascii="Baskerville Old Face" w:eastAsia="Times New Roman" w:hAnsi="Baskerville Old Face" w:cs="Times New Roman"/>
          <w:sz w:val="24"/>
          <w:szCs w:val="24"/>
        </w:rPr>
        <w:t xml:space="preserve">solicitud </w:t>
      </w:r>
      <w:r>
        <w:rPr>
          <w:rFonts w:ascii="Baskerville Old Face" w:eastAsia="Times New Roman" w:hAnsi="Baskerville Old Face" w:cs="Times New Roman"/>
          <w:sz w:val="24"/>
          <w:szCs w:val="24"/>
        </w:rPr>
        <w:t xml:space="preserve">a 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>través del portal web Único de Sistema de Acceso a la Información  Pública (SAIP)</w:t>
      </w:r>
      <w:r w:rsidR="004C7A1A">
        <w:rPr>
          <w:rFonts w:ascii="Baskerville Old Face" w:eastAsia="Times New Roman" w:hAnsi="Baskerville Old Face" w:cs="Times New Roman"/>
          <w:sz w:val="24"/>
          <w:szCs w:val="24"/>
        </w:rPr>
        <w:t xml:space="preserve"> y </w:t>
      </w:r>
      <w:r w:rsidR="004C7A1A" w:rsidRPr="004C7A1A">
        <w:rPr>
          <w:rFonts w:ascii="Baskerville Old Face" w:eastAsia="Times New Roman" w:hAnsi="Baskerville Old Face" w:cs="Times New Roman"/>
          <w:b/>
          <w:color w:val="5B9BD5" w:themeColor="accent1"/>
          <w:sz w:val="24"/>
          <w:szCs w:val="24"/>
        </w:rPr>
        <w:t xml:space="preserve">CERO (0) </w:t>
      </w:r>
      <w:r w:rsidR="004C7A1A">
        <w:rPr>
          <w:rFonts w:ascii="Baskerville Old Face" w:eastAsia="Times New Roman" w:hAnsi="Baskerville Old Face" w:cs="Times New Roman"/>
          <w:sz w:val="24"/>
          <w:szCs w:val="24"/>
        </w:rPr>
        <w:t>a través del correo electrónico</w:t>
      </w:r>
      <w:r w:rsidRPr="00002597">
        <w:rPr>
          <w:rFonts w:ascii="Baskerville Old Face" w:eastAsia="Times New Roman" w:hAnsi="Baskerville Old Face" w:cs="Times New Roman"/>
          <w:sz w:val="24"/>
          <w:szCs w:val="24"/>
        </w:rPr>
        <w:t xml:space="preserve">. </w:t>
      </w:r>
      <w:r w:rsidR="00A34ECA">
        <w:rPr>
          <w:rFonts w:ascii="Baskerville Old Face" w:eastAsia="Times New Roman" w:hAnsi="Baskerville Old Face" w:cs="Times New Roman"/>
          <w:sz w:val="24"/>
          <w:szCs w:val="24"/>
        </w:rPr>
        <w:t xml:space="preserve">Cada tres meses se publica una estadística de las solicitudes de información, en el </w:t>
      </w:r>
      <w:proofErr w:type="spellStart"/>
      <w:r w:rsidR="00A34ECA">
        <w:rPr>
          <w:rFonts w:ascii="Baskerville Old Face" w:eastAsia="Times New Roman" w:hAnsi="Baskerville Old Face" w:cs="Times New Roman"/>
          <w:sz w:val="24"/>
          <w:szCs w:val="24"/>
        </w:rPr>
        <w:t>subportal</w:t>
      </w:r>
      <w:proofErr w:type="spellEnd"/>
      <w:r w:rsidR="00A34ECA">
        <w:rPr>
          <w:rFonts w:ascii="Baskerville Old Face" w:eastAsia="Times New Roman" w:hAnsi="Baskerville Old Face" w:cs="Times New Roman"/>
          <w:sz w:val="24"/>
          <w:szCs w:val="24"/>
        </w:rPr>
        <w:t xml:space="preserve"> de Transparencia, en la página web Institucional de CORAAMOCA, con la información detallada.</w:t>
      </w:r>
    </w:p>
    <w:p w:rsidR="005715FE" w:rsidRDefault="005715FE" w:rsidP="005715FE">
      <w:pPr>
        <w:spacing w:after="200" w:line="240" w:lineRule="auto"/>
        <w:ind w:left="284"/>
        <w:contextualSpacing/>
        <w:jc w:val="both"/>
        <w:rPr>
          <w:rFonts w:ascii="Baskerville Old Face" w:eastAsia="Times New Roman" w:hAnsi="Baskerville Old Face" w:cs="Times New Roman"/>
          <w:sz w:val="24"/>
          <w:szCs w:val="24"/>
        </w:rPr>
      </w:pPr>
    </w:p>
    <w:p w:rsidR="005715FE" w:rsidRDefault="005715FE" w:rsidP="00A34ECA">
      <w:pPr>
        <w:spacing w:after="200" w:line="240" w:lineRule="auto"/>
        <w:ind w:left="1700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5715FE" w:rsidRPr="00002597" w:rsidRDefault="005715FE" w:rsidP="005715FE">
      <w:pPr>
        <w:spacing w:after="200" w:line="240" w:lineRule="auto"/>
        <w:ind w:left="284" w:hanging="284"/>
        <w:contextualSpacing/>
        <w:jc w:val="both"/>
        <w:rPr>
          <w:rFonts w:ascii="Baskerville Old Face" w:eastAsia="Times New Roman" w:hAnsi="Baskerville Old Face" w:cs="Times New Roman"/>
          <w:sz w:val="16"/>
          <w:szCs w:val="16"/>
        </w:rPr>
      </w:pPr>
    </w:p>
    <w:p w:rsidR="005715FE" w:rsidRPr="00002597" w:rsidRDefault="005715FE" w:rsidP="005715FE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</w:pPr>
      <w:r w:rsidRPr="0000259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</w:rPr>
        <w:t xml:space="preserve">Matriz de 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 xml:space="preserve">estadística de gestión, del periodo </w:t>
      </w:r>
      <w:r w:rsidR="004C7A1A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JULIO-SEPTIEMBRE</w:t>
      </w:r>
      <w:bookmarkStart w:id="0" w:name="_GoBack"/>
      <w:bookmarkEnd w:id="0"/>
      <w:r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 xml:space="preserve"> de 202</w:t>
      </w:r>
      <w:r w:rsidR="00A6123E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5</w:t>
      </w:r>
      <w:r w:rsidRPr="00002597">
        <w:rPr>
          <w:rFonts w:ascii="Baskerville Old Face" w:eastAsia="Times New Roman" w:hAnsi="Baskerville Old Face" w:cs="Times New Roman"/>
          <w:color w:val="1F4E79" w:themeColor="accent1" w:themeShade="80"/>
          <w:sz w:val="24"/>
          <w:szCs w:val="24"/>
        </w:rPr>
        <w:t>.</w:t>
      </w:r>
    </w:p>
    <w:tbl>
      <w:tblPr>
        <w:tblStyle w:val="Tablaconcuadrcula2"/>
        <w:tblW w:w="8288" w:type="dxa"/>
        <w:tblInd w:w="284" w:type="dxa"/>
        <w:tblLook w:val="04A0" w:firstRow="1" w:lastRow="0" w:firstColumn="1" w:lastColumn="0" w:noHBand="0" w:noVBand="1"/>
      </w:tblPr>
      <w:tblGrid>
        <w:gridCol w:w="1644"/>
        <w:gridCol w:w="979"/>
        <w:gridCol w:w="1087"/>
        <w:gridCol w:w="1185"/>
        <w:gridCol w:w="1577"/>
        <w:gridCol w:w="1816"/>
      </w:tblGrid>
      <w:tr w:rsidR="005715FE" w:rsidRPr="00002597" w:rsidTr="0088567F">
        <w:trPr>
          <w:trHeight w:val="744"/>
        </w:trPr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Medio de solicitud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Recibidas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Pendientes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A34ECA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Completada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Rechazadas en 5 días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Remitidas a otra institución</w:t>
            </w:r>
          </w:p>
        </w:tc>
      </w:tr>
      <w:tr w:rsidR="005715FE" w:rsidRPr="00002597" w:rsidTr="0088567F">
        <w:trPr>
          <w:trHeight w:val="383"/>
        </w:trPr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Física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5715FE" w:rsidRPr="00002597" w:rsidTr="0088567F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Portal SAIP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A34ECA" w:rsidP="0088567F">
            <w:pPr>
              <w:spacing w:after="20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A34ECA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5715FE" w:rsidRPr="00002597" w:rsidTr="0088567F">
        <w:trPr>
          <w:trHeight w:val="767"/>
        </w:trPr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Via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 </w:t>
            </w: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telef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. </w:t>
            </w:r>
            <w:proofErr w:type="gram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o</w:t>
            </w:r>
            <w:proofErr w:type="gram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 xml:space="preserve"> Correo </w:t>
            </w:r>
            <w:proofErr w:type="spellStart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elect</w:t>
            </w:r>
            <w:proofErr w:type="spellEnd"/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0</w:t>
            </w:r>
          </w:p>
        </w:tc>
      </w:tr>
      <w:tr w:rsidR="005715FE" w:rsidRPr="00002597" w:rsidTr="0088567F">
        <w:trPr>
          <w:trHeight w:val="360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A34ECA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A34ECA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9CC2E5" w:themeFill="accent1" w:themeFillTint="99"/>
            <w:vAlign w:val="center"/>
          </w:tcPr>
          <w:p w:rsidR="005715FE" w:rsidRPr="00002597" w:rsidRDefault="005715FE" w:rsidP="0088567F">
            <w:pPr>
              <w:spacing w:after="200"/>
              <w:contextualSpacing/>
              <w:jc w:val="center"/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</w:pPr>
            <w:r w:rsidRPr="00002597">
              <w:rPr>
                <w:rFonts w:ascii="Baskerville Old Face" w:eastAsia="Times New Roman" w:hAnsi="Baskerville Old Face" w:cs="Times New Roman"/>
                <w:b/>
                <w:sz w:val="20"/>
                <w:szCs w:val="20"/>
              </w:rPr>
              <w:t>0</w:t>
            </w:r>
          </w:p>
        </w:tc>
      </w:tr>
    </w:tbl>
    <w:p w:rsidR="005715FE" w:rsidRPr="00002597" w:rsidRDefault="005715FE" w:rsidP="005715FE">
      <w:pPr>
        <w:spacing w:after="200" w:line="240" w:lineRule="auto"/>
        <w:ind w:left="284" w:hanging="284"/>
        <w:contextualSpacing/>
        <w:jc w:val="center"/>
        <w:rPr>
          <w:rFonts w:ascii="Baskerville Old Face" w:eastAsia="Times New Roman" w:hAnsi="Baskerville Old Face" w:cs="Times New Roman"/>
          <w:sz w:val="28"/>
          <w:szCs w:val="28"/>
        </w:rPr>
      </w:pPr>
    </w:p>
    <w:p w:rsidR="005715FE" w:rsidRDefault="005715FE" w:rsidP="005715FE">
      <w:pPr>
        <w:spacing w:after="0" w:line="240" w:lineRule="auto"/>
        <w:jc w:val="center"/>
        <w:rPr>
          <w:rFonts w:ascii="Baskerville Old Face" w:eastAsia="Times New Roman" w:hAnsi="Baskerville Old Face" w:cs="Times New Roman"/>
          <w:sz w:val="20"/>
          <w:szCs w:val="20"/>
        </w:rPr>
      </w:pPr>
      <w:r>
        <w:rPr>
          <w:rFonts w:ascii="Baskerville Old Face" w:eastAsia="Times New Roman" w:hAnsi="Baskerville Old Face" w:cs="Times New Roman"/>
          <w:sz w:val="20"/>
          <w:szCs w:val="20"/>
        </w:rPr>
        <w:t>PORTAL WEB - SAIP</w:t>
      </w:r>
    </w:p>
    <w:p w:rsidR="005715FE" w:rsidRDefault="005715FE" w:rsidP="005715FE"/>
    <w:p w:rsidR="005715FE" w:rsidRDefault="005715FE" w:rsidP="005715FE"/>
    <w:p w:rsidR="005715FE" w:rsidRPr="00002597" w:rsidRDefault="005715FE" w:rsidP="005715FE">
      <w:pPr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</w:pPr>
      <w:r w:rsidRPr="00002597">
        <w:rPr>
          <w:rFonts w:ascii="Edwardian Script ITC" w:eastAsia="Times New Roman" w:hAnsi="Edwardian Script ITC" w:cs="Times New Roman"/>
          <w:b/>
          <w:color w:val="0070C0"/>
          <w:sz w:val="36"/>
          <w:szCs w:val="36"/>
        </w:rPr>
        <w:t>Licda. Patricia Ramos Rosario</w:t>
      </w:r>
    </w:p>
    <w:p w:rsidR="005715FE" w:rsidRDefault="005715FE" w:rsidP="005715FE">
      <w:pPr>
        <w:spacing w:after="0" w:line="240" w:lineRule="auto"/>
        <w:jc w:val="center"/>
      </w:pPr>
      <w:r w:rsidRPr="00002597">
        <w:rPr>
          <w:rFonts w:ascii="Baskerville Old Face" w:eastAsia="Times New Roman" w:hAnsi="Baskerville Old Face" w:cs="Times New Roman"/>
          <w:sz w:val="20"/>
          <w:szCs w:val="20"/>
        </w:rPr>
        <w:t>Responsable del Acceso a la Información (RAI)</w:t>
      </w:r>
    </w:p>
    <w:p w:rsidR="00B66E61" w:rsidRDefault="00B66E61"/>
    <w:p w:rsidR="00CC0E1F" w:rsidRPr="00B66E61" w:rsidRDefault="00B66E61" w:rsidP="00B66E61">
      <w:pPr>
        <w:tabs>
          <w:tab w:val="left" w:pos="1995"/>
        </w:tabs>
      </w:pPr>
      <w:r>
        <w:rPr>
          <w:noProof/>
          <w:lang w:eastAsia="es-DO"/>
        </w:rPr>
        <w:lastRenderedPageBreak/>
        <w:drawing>
          <wp:inline distT="0" distB="0" distL="0" distR="0" wp14:anchorId="4ECCAFBF" wp14:editId="2C4A32A9">
            <wp:extent cx="5238750" cy="5136336"/>
            <wp:effectExtent l="0" t="0" r="0" b="762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1525" r="1059" b="3702"/>
                    <a:stretch/>
                  </pic:blipFill>
                  <pic:spPr>
                    <a:xfrm>
                      <a:off x="0" y="0"/>
                      <a:ext cx="5238750" cy="513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CC0E1F" w:rsidRPr="00B66E6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7B" w:rsidRDefault="00874F7B" w:rsidP="00A6123E">
      <w:pPr>
        <w:spacing w:after="0" w:line="240" w:lineRule="auto"/>
      </w:pPr>
      <w:r>
        <w:separator/>
      </w:r>
    </w:p>
  </w:endnote>
  <w:endnote w:type="continuationSeparator" w:id="0">
    <w:p w:rsidR="00874F7B" w:rsidRDefault="00874F7B" w:rsidP="00A6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3E" w:rsidRDefault="00A6123E">
    <w:pPr>
      <w:pStyle w:val="Piedepgina"/>
    </w:pPr>
    <w:r>
      <w:rPr>
        <w:noProof/>
        <w:lang w:eastAsia="es-DO"/>
      </w:rPr>
      <w:drawing>
        <wp:inline distT="0" distB="0" distL="0" distR="0">
          <wp:extent cx="3076575" cy="219075"/>
          <wp:effectExtent l="0" t="0" r="952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de 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7B" w:rsidRDefault="00874F7B" w:rsidP="00A6123E">
      <w:pPr>
        <w:spacing w:after="0" w:line="240" w:lineRule="auto"/>
      </w:pPr>
      <w:r>
        <w:separator/>
      </w:r>
    </w:p>
  </w:footnote>
  <w:footnote w:type="continuationSeparator" w:id="0">
    <w:p w:rsidR="00874F7B" w:rsidRDefault="00874F7B" w:rsidP="00A6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FFB" w:rsidRDefault="00180E9A">
    <w:pPr>
      <w:pStyle w:val="Encabezado"/>
    </w:pPr>
    <w:r>
      <w:rPr>
        <w:noProof/>
        <w:lang w:eastAsia="es-DO"/>
      </w:rPr>
      <w:drawing>
        <wp:inline distT="0" distB="0" distL="0" distR="0" wp14:anchorId="3378D891" wp14:editId="3E190818">
          <wp:extent cx="5400040" cy="678815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Nuevo 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B12"/>
    <w:multiLevelType w:val="hybridMultilevel"/>
    <w:tmpl w:val="2438DC9C"/>
    <w:lvl w:ilvl="0" w:tplc="029213FC"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FE"/>
    <w:rsid w:val="00053DFE"/>
    <w:rsid w:val="00180E9A"/>
    <w:rsid w:val="004C7A1A"/>
    <w:rsid w:val="005715FE"/>
    <w:rsid w:val="007674DB"/>
    <w:rsid w:val="00874F7B"/>
    <w:rsid w:val="00A34ECA"/>
    <w:rsid w:val="00A6123E"/>
    <w:rsid w:val="00B66E61"/>
    <w:rsid w:val="00B97B6C"/>
    <w:rsid w:val="00C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B60E330-A636-4C9D-B644-0B9C20DA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2">
    <w:name w:val="Tabla con cuadrícula2"/>
    <w:basedOn w:val="Tablanormal"/>
    <w:next w:val="Tablaconcuadrcula"/>
    <w:uiPriority w:val="39"/>
    <w:rsid w:val="0057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1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5FE"/>
  </w:style>
  <w:style w:type="table" w:styleId="Tablaconcuadrcula">
    <w:name w:val="Table Grid"/>
    <w:basedOn w:val="Tablanormal"/>
    <w:uiPriority w:val="39"/>
    <w:rsid w:val="0057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61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coraamoc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raamoca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2025-10-20T15:39:00Z</dcterms:created>
  <dcterms:modified xsi:type="dcterms:W3CDTF">2025-10-20T15:39:00Z</dcterms:modified>
</cp:coreProperties>
</file>