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FA7" w:rsidRPr="00162FFB" w:rsidRDefault="006D3FA7" w:rsidP="006D3FA7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 w:rsidRPr="00162FFB">
        <w:rPr>
          <w:rFonts w:ascii="Edwardian Script ITC" w:eastAsia="Times New Roman" w:hAnsi="Edwardian Script ITC" w:cs="Times New Roman"/>
          <w:b/>
          <w:sz w:val="56"/>
          <w:szCs w:val="56"/>
        </w:rPr>
        <w:t xml:space="preserve">    </w:t>
      </w:r>
      <w:r w:rsidRPr="000D6078">
        <w:rPr>
          <w:rFonts w:ascii="Edwardian Script ITC" w:eastAsia="Times New Roman" w:hAnsi="Edwardian Script ITC" w:cs="Times New Roman"/>
          <w:b/>
          <w:color w:val="0070C0"/>
          <w:sz w:val="40"/>
          <w:szCs w:val="40"/>
        </w:rPr>
        <w:t>Oficina de Acceso a la Información</w:t>
      </w:r>
      <w:r w:rsidRPr="00162FFB">
        <w:rPr>
          <w:rFonts w:ascii="Times New Roman" w:eastAsia="Times New Roman" w:hAnsi="Times New Roman" w:cs="Times New Roman"/>
          <w:color w:val="0070C0"/>
          <w:sz w:val="40"/>
          <w:szCs w:val="40"/>
        </w:rPr>
        <w:t xml:space="preserve"> </w:t>
      </w:r>
      <w:r w:rsidRPr="00162FFB">
        <w:rPr>
          <w:rFonts w:ascii="Times New Roman" w:eastAsia="Times New Roman" w:hAnsi="Times New Roman" w:cs="Times New Roman"/>
          <w:color w:val="0070C0"/>
          <w:sz w:val="24"/>
          <w:szCs w:val="24"/>
        </w:rPr>
        <w:t>(OAI)</w:t>
      </w:r>
    </w:p>
    <w:p w:rsidR="006D3FA7" w:rsidRPr="00162FFB" w:rsidRDefault="006D3FA7" w:rsidP="006D3FA7">
      <w:pPr>
        <w:tabs>
          <w:tab w:val="left" w:pos="930"/>
          <w:tab w:val="center" w:pos="4779"/>
        </w:tabs>
        <w:spacing w:after="0" w:line="180" w:lineRule="atLeas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62FFB">
        <w:rPr>
          <w:rFonts w:ascii="Times New Roman" w:eastAsia="Times New Roman" w:hAnsi="Times New Roman" w:cs="Times New Roman"/>
          <w:sz w:val="24"/>
          <w:szCs w:val="24"/>
        </w:rPr>
        <w:tab/>
      </w:r>
      <w:r w:rsidRPr="00162FFB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proofErr w:type="spellStart"/>
      <w:proofErr w:type="gramStart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>Ofic</w:t>
      </w:r>
      <w:proofErr w:type="spellEnd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>.:</w:t>
      </w:r>
      <w:proofErr w:type="gramEnd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809-578-2622 (ext. 255) – </w:t>
      </w:r>
      <w:proofErr w:type="spellStart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>Pág</w:t>
      </w:r>
      <w:proofErr w:type="spellEnd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>Web.:</w:t>
      </w:r>
      <w:proofErr w:type="gramEnd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hyperlink r:id="rId7" w:history="1">
        <w:r w:rsidRPr="0095517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www.coraamoca.gob.do</w:t>
        </w:r>
      </w:hyperlink>
    </w:p>
    <w:p w:rsidR="006D3FA7" w:rsidRPr="00162FFB" w:rsidRDefault="006D3FA7" w:rsidP="006D3FA7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RAI:</w:t>
      </w:r>
      <w:r w:rsidRPr="0016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2FFB">
        <w:rPr>
          <w:rFonts w:ascii="Edwardian Script ITC" w:eastAsia="Times New Roman" w:hAnsi="Edwardian Script ITC" w:cs="Times New Roman"/>
          <w:sz w:val="36"/>
          <w:szCs w:val="36"/>
        </w:rPr>
        <w:t>Licda. Patricia Ramos R</w:t>
      </w:r>
      <w:r w:rsidRPr="00162FFB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Pr="00162FFB">
        <w:rPr>
          <w:rFonts w:ascii="Times New Roman" w:eastAsia="Times New Roman" w:hAnsi="Times New Roman" w:cs="Times New Roman"/>
        </w:rPr>
        <w:t xml:space="preserve">Correo: </w:t>
      </w:r>
      <w:hyperlink r:id="rId8" w:history="1">
        <w:r w:rsidRPr="00955178">
          <w:rPr>
            <w:rFonts w:ascii="Times New Roman" w:eastAsia="Times New Roman" w:hAnsi="Times New Roman" w:cs="Times New Roman"/>
            <w:color w:val="0000FF"/>
            <w:u w:val="single"/>
          </w:rPr>
          <w:t>oaicoraamoca@gmail.com</w:t>
        </w:r>
      </w:hyperlink>
    </w:p>
    <w:p w:rsidR="000D6078" w:rsidRDefault="000D6078" w:rsidP="00590EB6">
      <w:pPr>
        <w:jc w:val="right"/>
        <w:rPr>
          <w:rFonts w:ascii="Baskerville Old Face" w:hAnsi="Baskerville Old Face"/>
          <w:sz w:val="24"/>
          <w:szCs w:val="24"/>
        </w:rPr>
      </w:pPr>
    </w:p>
    <w:p w:rsidR="00590EB6" w:rsidRDefault="00A43FD9" w:rsidP="00590EB6">
      <w:pPr>
        <w:jc w:val="right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31</w:t>
      </w:r>
      <w:r w:rsidR="00590EB6" w:rsidRPr="00C737F0">
        <w:rPr>
          <w:rFonts w:ascii="Baskerville Old Face" w:hAnsi="Baskerville Old Face"/>
          <w:sz w:val="24"/>
          <w:szCs w:val="24"/>
        </w:rPr>
        <w:t xml:space="preserve"> </w:t>
      </w:r>
      <w:r w:rsidR="00590EB6" w:rsidRPr="00393D3A">
        <w:rPr>
          <w:rFonts w:ascii="Baskerville Old Face" w:hAnsi="Baskerville Old Face"/>
          <w:sz w:val="24"/>
          <w:szCs w:val="24"/>
        </w:rPr>
        <w:t xml:space="preserve">de </w:t>
      </w:r>
      <w:r w:rsidR="00590EB6">
        <w:rPr>
          <w:rFonts w:ascii="Baskerville Old Face" w:hAnsi="Baskerville Old Face"/>
          <w:sz w:val="24"/>
          <w:szCs w:val="24"/>
        </w:rPr>
        <w:t>diciembre de 2024</w:t>
      </w:r>
    </w:p>
    <w:p w:rsidR="00590EB6" w:rsidRPr="006D3FA7" w:rsidRDefault="00590EB6" w:rsidP="00590EB6">
      <w:pPr>
        <w:spacing w:after="0" w:line="240" w:lineRule="auto"/>
        <w:jc w:val="right"/>
        <w:rPr>
          <w:rFonts w:ascii="Baskerville Old Face" w:eastAsia="Times New Roman" w:hAnsi="Baskerville Old Face" w:cs="Times New Roman"/>
          <w:sz w:val="24"/>
          <w:szCs w:val="24"/>
        </w:rPr>
      </w:pPr>
    </w:p>
    <w:p w:rsidR="00590EB6" w:rsidRPr="006D3FA7" w:rsidRDefault="00590EB6" w:rsidP="00590EB6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  <w:r w:rsidRPr="006D3FA7">
        <w:rPr>
          <w:rFonts w:ascii="Baskerville Old Face" w:eastAsia="Times New Roman" w:hAnsi="Baskerville Old Face" w:cs="Times New Roman"/>
          <w:sz w:val="24"/>
          <w:szCs w:val="24"/>
        </w:rPr>
        <w:t>Al</w:t>
      </w:r>
      <w:r w:rsidRPr="006D3FA7">
        <w:rPr>
          <w:rFonts w:ascii="Baskerville Old Face" w:eastAsia="Times New Roman" w:hAnsi="Baskerville Old Face" w:cs="Times New Roman"/>
          <w:sz w:val="24"/>
          <w:szCs w:val="24"/>
        </w:rPr>
        <w:tab/>
      </w:r>
      <w:r w:rsidRPr="006D3FA7">
        <w:rPr>
          <w:rFonts w:ascii="Baskerville Old Face" w:eastAsia="Times New Roman" w:hAnsi="Baskerville Old Face" w:cs="Times New Roman"/>
          <w:sz w:val="24"/>
          <w:szCs w:val="24"/>
        </w:rPr>
        <w:tab/>
        <w:t xml:space="preserve">: </w:t>
      </w:r>
      <w:r w:rsidRPr="006D3FA7">
        <w:rPr>
          <w:rFonts w:ascii="Baskerville Old Face" w:eastAsia="Times New Roman" w:hAnsi="Baskerville Old Face" w:cs="Times New Roman"/>
          <w:b/>
          <w:sz w:val="24"/>
          <w:szCs w:val="24"/>
        </w:rPr>
        <w:t>Lic. Reynaldo Méndez S.</w:t>
      </w:r>
      <w:r w:rsidRPr="006D3FA7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</w:p>
    <w:p w:rsidR="00590EB6" w:rsidRPr="006D3FA7" w:rsidRDefault="00590EB6" w:rsidP="00590EB6">
      <w:pPr>
        <w:spacing w:after="0" w:line="240" w:lineRule="auto"/>
        <w:ind w:left="708" w:firstLine="708"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  <w:r w:rsidRPr="006D3FA7">
        <w:rPr>
          <w:rFonts w:ascii="Baskerville Old Face" w:eastAsia="Times New Roman" w:hAnsi="Baskerville Old Face" w:cs="Times New Roman"/>
          <w:sz w:val="24"/>
          <w:szCs w:val="24"/>
        </w:rPr>
        <w:t xml:space="preserve">  Director General.</w:t>
      </w:r>
    </w:p>
    <w:p w:rsidR="00590EB6" w:rsidRPr="006D3FA7" w:rsidRDefault="00590EB6" w:rsidP="00590EB6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</w:p>
    <w:p w:rsidR="00590EB6" w:rsidRPr="006D3FA7" w:rsidRDefault="00590EB6" w:rsidP="00590EB6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  <w:r w:rsidRPr="006D3FA7">
        <w:rPr>
          <w:rFonts w:ascii="Baskerville Old Face" w:eastAsia="Times New Roman" w:hAnsi="Baskerville Old Face" w:cs="Times New Roman"/>
          <w:sz w:val="24"/>
          <w:szCs w:val="24"/>
        </w:rPr>
        <w:t>De La</w:t>
      </w:r>
      <w:r w:rsidRPr="006D3FA7">
        <w:rPr>
          <w:rFonts w:ascii="Baskerville Old Face" w:eastAsia="Times New Roman" w:hAnsi="Baskerville Old Face" w:cs="Times New Roman"/>
          <w:sz w:val="24"/>
          <w:szCs w:val="24"/>
        </w:rPr>
        <w:tab/>
      </w:r>
      <w:r w:rsidRPr="006D3FA7">
        <w:rPr>
          <w:rFonts w:ascii="Baskerville Old Face" w:eastAsia="Times New Roman" w:hAnsi="Baskerville Old Face" w:cs="Times New Roman"/>
          <w:sz w:val="24"/>
          <w:szCs w:val="24"/>
        </w:rPr>
        <w:tab/>
        <w:t xml:space="preserve">: </w:t>
      </w:r>
      <w:r w:rsidRPr="006D3FA7">
        <w:rPr>
          <w:rFonts w:ascii="Baskerville Old Face" w:eastAsia="Times New Roman" w:hAnsi="Baskerville Old Face" w:cs="Times New Roman"/>
          <w:b/>
          <w:sz w:val="24"/>
          <w:szCs w:val="24"/>
        </w:rPr>
        <w:t>Lic. Patricia Ramos Rosario</w:t>
      </w:r>
    </w:p>
    <w:p w:rsidR="00590EB6" w:rsidRPr="006D3FA7" w:rsidRDefault="00590EB6" w:rsidP="00590EB6">
      <w:pPr>
        <w:spacing w:after="0" w:line="240" w:lineRule="auto"/>
        <w:ind w:left="708" w:firstLine="708"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  <w:r w:rsidRPr="006D3FA7">
        <w:rPr>
          <w:rFonts w:ascii="Baskerville Old Face" w:eastAsia="Times New Roman" w:hAnsi="Baskerville Old Face" w:cs="Times New Roman"/>
          <w:sz w:val="24"/>
          <w:szCs w:val="24"/>
        </w:rPr>
        <w:t xml:space="preserve">  Responsable del Acceso a la Información (RAI)</w:t>
      </w:r>
    </w:p>
    <w:p w:rsidR="00590EB6" w:rsidRPr="006D3FA7" w:rsidRDefault="00590EB6" w:rsidP="00590EB6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</w:p>
    <w:p w:rsidR="00590EB6" w:rsidRPr="006D3FA7" w:rsidRDefault="00590EB6" w:rsidP="00590EB6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sz w:val="24"/>
          <w:szCs w:val="24"/>
        </w:rPr>
      </w:pPr>
      <w:r w:rsidRPr="006D3FA7">
        <w:rPr>
          <w:rFonts w:ascii="Baskerville Old Face" w:eastAsia="Times New Roman" w:hAnsi="Baskerville Old Face" w:cs="Times New Roman"/>
          <w:sz w:val="24"/>
          <w:szCs w:val="24"/>
        </w:rPr>
        <w:t>Asunto</w:t>
      </w:r>
      <w:r w:rsidRPr="006D3FA7">
        <w:rPr>
          <w:rFonts w:ascii="Baskerville Old Face" w:eastAsia="Times New Roman" w:hAnsi="Baskerville Old Face" w:cs="Times New Roman"/>
          <w:sz w:val="24"/>
          <w:szCs w:val="24"/>
        </w:rPr>
        <w:tab/>
      </w:r>
      <w:r w:rsidRPr="006D3FA7">
        <w:rPr>
          <w:rFonts w:ascii="Baskerville Old Face" w:eastAsia="Times New Roman" w:hAnsi="Baskerville Old Face" w:cs="Times New Roman"/>
          <w:sz w:val="24"/>
          <w:szCs w:val="24"/>
        </w:rPr>
        <w:tab/>
        <w:t xml:space="preserve">: </w:t>
      </w:r>
      <w:r>
        <w:rPr>
          <w:rFonts w:ascii="Baskerville Old Face" w:eastAsia="Times New Roman" w:hAnsi="Baskerville Old Face" w:cs="Times New Roman"/>
          <w:b/>
          <w:sz w:val="24"/>
          <w:szCs w:val="24"/>
        </w:rPr>
        <w:t>Informe Tri</w:t>
      </w:r>
      <w:r w:rsidRPr="006D3FA7">
        <w:rPr>
          <w:rFonts w:ascii="Baskerville Old Face" w:eastAsia="Times New Roman" w:hAnsi="Baskerville Old Face" w:cs="Times New Roman"/>
          <w:b/>
          <w:sz w:val="24"/>
          <w:szCs w:val="24"/>
        </w:rPr>
        <w:t>mestral 2024 de Gestión de la OAI</w:t>
      </w:r>
      <w:r>
        <w:rPr>
          <w:rFonts w:ascii="Baskerville Old Face" w:eastAsia="Times New Roman" w:hAnsi="Baskerville Old Face" w:cs="Times New Roman"/>
          <w:b/>
          <w:sz w:val="24"/>
          <w:szCs w:val="24"/>
        </w:rPr>
        <w:t xml:space="preserve"> y 311</w:t>
      </w:r>
      <w:r w:rsidRPr="006D3FA7">
        <w:rPr>
          <w:rFonts w:ascii="Baskerville Old Face" w:eastAsia="Times New Roman" w:hAnsi="Baskerville Old Face" w:cs="Times New Roman"/>
          <w:b/>
          <w:sz w:val="24"/>
          <w:szCs w:val="24"/>
        </w:rPr>
        <w:t>.</w:t>
      </w:r>
    </w:p>
    <w:p w:rsidR="00590EB6" w:rsidRPr="006D3FA7" w:rsidRDefault="00590EB6" w:rsidP="00590EB6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sz w:val="24"/>
          <w:szCs w:val="24"/>
        </w:rPr>
      </w:pPr>
    </w:p>
    <w:p w:rsidR="00590EB6" w:rsidRPr="006D3FA7" w:rsidRDefault="00590EB6" w:rsidP="00590EB6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sz w:val="24"/>
          <w:szCs w:val="24"/>
        </w:rPr>
      </w:pPr>
    </w:p>
    <w:p w:rsidR="006D3FA7" w:rsidRDefault="006D3FA7" w:rsidP="006D3FA7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Estadística de Gestión del </w:t>
      </w:r>
      <w:r w:rsidR="00C33642">
        <w:rPr>
          <w:rFonts w:ascii="Baskerville Old Face" w:hAnsi="Baskerville Old Face"/>
          <w:sz w:val="24"/>
          <w:szCs w:val="24"/>
        </w:rPr>
        <w:t>Acceso a la Información P</w:t>
      </w:r>
      <w:r>
        <w:rPr>
          <w:rFonts w:ascii="Baskerville Old Face" w:hAnsi="Baskerville Old Face"/>
          <w:sz w:val="24"/>
          <w:szCs w:val="24"/>
        </w:rPr>
        <w:t>ública</w:t>
      </w:r>
    </w:p>
    <w:p w:rsidR="006D3FA7" w:rsidRDefault="006D3FA7" w:rsidP="006D3FA7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4to. Trimestre OCTUBRE-DICIEMBRE, de 2024.</w:t>
      </w:r>
    </w:p>
    <w:p w:rsidR="006D3FA7" w:rsidRPr="006D3FA7" w:rsidRDefault="006D3FA7" w:rsidP="006D3FA7">
      <w:pPr>
        <w:spacing w:after="0" w:line="240" w:lineRule="auto"/>
        <w:jc w:val="center"/>
        <w:rPr>
          <w:rFonts w:ascii="Baskerville Old Face" w:hAnsi="Baskerville Old Face"/>
          <w:sz w:val="16"/>
          <w:szCs w:val="16"/>
        </w:rPr>
      </w:pPr>
    </w:p>
    <w:p w:rsidR="006D3FA7" w:rsidRPr="00002597" w:rsidRDefault="006D3FA7" w:rsidP="006D3FA7">
      <w:pPr>
        <w:numPr>
          <w:ilvl w:val="0"/>
          <w:numId w:val="1"/>
        </w:numPr>
        <w:spacing w:after="200" w:line="240" w:lineRule="auto"/>
        <w:ind w:left="284" w:hanging="284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  <w:r w:rsidRPr="006D3FA7">
        <w:rPr>
          <w:rFonts w:ascii="Baskerville Old Face" w:eastAsia="Times New Roman" w:hAnsi="Baskerville Old Face" w:cs="Times New Roman"/>
          <w:bCs/>
          <w:sz w:val="24"/>
          <w:szCs w:val="24"/>
        </w:rPr>
        <w:t>En el período de gestión</w:t>
      </w:r>
      <w:r w:rsidRPr="00002597">
        <w:rPr>
          <w:rFonts w:ascii="Baskerville Old Face" w:eastAsia="Times New Roman" w:hAnsi="Baskerville Old Face" w:cs="Times New Roman"/>
          <w:b/>
          <w:bCs/>
          <w:sz w:val="24"/>
          <w:szCs w:val="24"/>
        </w:rPr>
        <w:t xml:space="preserve"> </w:t>
      </w:r>
      <w:r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OCTUBRE-DICIEMBRE de 2</w:t>
      </w:r>
      <w:r w:rsidRPr="00002597"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02</w:t>
      </w:r>
      <w:r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4</w:t>
      </w:r>
      <w:r w:rsidRPr="00002597"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,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 la OAI recibió </w:t>
      </w:r>
      <w:r w:rsidR="00590EB6" w:rsidRPr="00590EB6">
        <w:rPr>
          <w:rFonts w:ascii="Baskerville Old Face" w:eastAsia="Times New Roman" w:hAnsi="Baskerville Old Face" w:cs="Times New Roman"/>
          <w:b/>
          <w:color w:val="2E74B5" w:themeColor="accent1" w:themeShade="BF"/>
          <w:sz w:val="24"/>
          <w:szCs w:val="24"/>
        </w:rPr>
        <w:t>DOS</w:t>
      </w:r>
      <w:r w:rsidRPr="00590EB6">
        <w:rPr>
          <w:rFonts w:ascii="Baskerville Old Face" w:eastAsia="Times New Roman" w:hAnsi="Baskerville Old Face" w:cs="Times New Roman"/>
          <w:b/>
          <w:color w:val="2E74B5" w:themeColor="accent1" w:themeShade="BF"/>
          <w:sz w:val="24"/>
          <w:szCs w:val="24"/>
        </w:rPr>
        <w:t xml:space="preserve"> (</w:t>
      </w:r>
      <w:r w:rsidR="00590EB6" w:rsidRPr="00590EB6">
        <w:rPr>
          <w:rFonts w:ascii="Baskerville Old Face" w:eastAsia="Times New Roman" w:hAnsi="Baskerville Old Face" w:cs="Times New Roman"/>
          <w:b/>
          <w:color w:val="2E74B5" w:themeColor="accent1" w:themeShade="BF"/>
          <w:sz w:val="24"/>
          <w:szCs w:val="24"/>
        </w:rPr>
        <w:t>2</w:t>
      </w:r>
      <w:r w:rsidRPr="00590EB6">
        <w:rPr>
          <w:rFonts w:ascii="Baskerville Old Face" w:eastAsia="Times New Roman" w:hAnsi="Baskerville Old Face" w:cs="Times New Roman"/>
          <w:b/>
          <w:color w:val="2E74B5" w:themeColor="accent1" w:themeShade="BF"/>
          <w:sz w:val="24"/>
          <w:szCs w:val="24"/>
        </w:rPr>
        <w:t>)</w:t>
      </w:r>
      <w:r w:rsidRPr="00590EB6">
        <w:rPr>
          <w:rFonts w:ascii="Baskerville Old Face" w:eastAsia="Times New Roman" w:hAnsi="Baskerville Old Face" w:cs="Times New Roman"/>
          <w:color w:val="2E74B5" w:themeColor="accent1" w:themeShade="BF"/>
          <w:sz w:val="24"/>
          <w:szCs w:val="24"/>
        </w:rPr>
        <w:t xml:space="preserve"> 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solicitudes de información, </w:t>
      </w:r>
      <w:r>
        <w:rPr>
          <w:rFonts w:ascii="Baskerville Old Face" w:eastAsia="Times New Roman" w:hAnsi="Baskerville Old Face" w:cs="Times New Roman"/>
          <w:sz w:val="24"/>
          <w:szCs w:val="24"/>
        </w:rPr>
        <w:t xml:space="preserve">a 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>través del portal web Único de Sistema de Acceso a la Información  Pública (SAIP)</w:t>
      </w:r>
      <w:r w:rsidR="00590EB6">
        <w:rPr>
          <w:rFonts w:ascii="Baskerville Old Face" w:eastAsia="Times New Roman" w:hAnsi="Baskerville Old Face" w:cs="Times New Roman"/>
          <w:sz w:val="24"/>
          <w:szCs w:val="24"/>
        </w:rPr>
        <w:t xml:space="preserve"> y,</w:t>
      </w:r>
      <w:r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590EB6">
        <w:rPr>
          <w:rFonts w:ascii="Baskerville Old Face" w:eastAsia="Times New Roman" w:hAnsi="Baskerville Old Face" w:cs="Times New Roman"/>
          <w:sz w:val="24"/>
          <w:szCs w:val="24"/>
        </w:rPr>
        <w:t>de manera física/</w:t>
      </w:r>
      <w:r w:rsidR="00590EB6" w:rsidRPr="00002597">
        <w:rPr>
          <w:rFonts w:ascii="Baskerville Old Face" w:eastAsia="Times New Roman" w:hAnsi="Baskerville Old Face" w:cs="Times New Roman"/>
          <w:sz w:val="24"/>
          <w:szCs w:val="24"/>
        </w:rPr>
        <w:t>personal</w:t>
      </w:r>
      <w:r w:rsidR="00590EB6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>
        <w:rPr>
          <w:rFonts w:ascii="Baskerville Old Face" w:eastAsia="Times New Roman" w:hAnsi="Baskerville Old Face" w:cs="Times New Roman"/>
          <w:sz w:val="24"/>
          <w:szCs w:val="24"/>
        </w:rPr>
        <w:t xml:space="preserve">la OAI recibió: </w:t>
      </w:r>
      <w:r w:rsidRPr="00590EB6">
        <w:rPr>
          <w:rFonts w:ascii="Baskerville Old Face" w:eastAsia="Times New Roman" w:hAnsi="Baskerville Old Face" w:cs="Times New Roman"/>
          <w:b/>
          <w:color w:val="2E74B5" w:themeColor="accent1" w:themeShade="BF"/>
          <w:sz w:val="24"/>
          <w:szCs w:val="24"/>
        </w:rPr>
        <w:t>CERO (0)</w:t>
      </w:r>
      <w:r w:rsidRPr="00590EB6">
        <w:rPr>
          <w:rFonts w:ascii="Baskerville Old Face" w:eastAsia="Times New Roman" w:hAnsi="Baskerville Old Face"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ascii="Baskerville Old Face" w:eastAsia="Times New Roman" w:hAnsi="Baskerville Old Face" w:cs="Times New Roman"/>
          <w:sz w:val="24"/>
          <w:szCs w:val="24"/>
        </w:rPr>
        <w:t>solicitudes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</w:p>
    <w:p w:rsidR="006D3FA7" w:rsidRDefault="006D3FA7" w:rsidP="006D3FA7">
      <w:pPr>
        <w:spacing w:after="200" w:line="240" w:lineRule="auto"/>
        <w:ind w:left="284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</w:p>
    <w:p w:rsidR="006D3FA7" w:rsidRDefault="006D3FA7" w:rsidP="006D3FA7">
      <w:pPr>
        <w:spacing w:after="200" w:line="240" w:lineRule="auto"/>
        <w:ind w:left="284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Cada tres meses se publica una estadística de las solicitudes de información, en el </w:t>
      </w:r>
      <w:proofErr w:type="spellStart"/>
      <w:r w:rsidRPr="00002597">
        <w:rPr>
          <w:rFonts w:ascii="Baskerville Old Face" w:eastAsia="Times New Roman" w:hAnsi="Baskerville Old Face" w:cs="Times New Roman"/>
          <w:sz w:val="24"/>
          <w:szCs w:val="24"/>
        </w:rPr>
        <w:t>subportal</w:t>
      </w:r>
      <w:proofErr w:type="spellEnd"/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 de Transparencia, en la página web Institucional de CORAAMOCA, con la información detallada</w:t>
      </w:r>
      <w:r>
        <w:rPr>
          <w:rFonts w:ascii="Baskerville Old Face" w:eastAsia="Times New Roman" w:hAnsi="Baskerville Old Face" w:cs="Times New Roman"/>
          <w:sz w:val="24"/>
          <w:szCs w:val="24"/>
        </w:rPr>
        <w:t xml:space="preserve"> este es el enlace:</w:t>
      </w:r>
    </w:p>
    <w:p w:rsidR="00C33642" w:rsidRPr="00A12FA3" w:rsidRDefault="00C33642" w:rsidP="006D3FA7">
      <w:pPr>
        <w:spacing w:after="200" w:line="240" w:lineRule="auto"/>
        <w:ind w:left="284"/>
        <w:contextualSpacing/>
        <w:jc w:val="both"/>
        <w:rPr>
          <w:rFonts w:ascii="Baskerville Old Face" w:eastAsia="Times New Roman" w:hAnsi="Baskerville Old Face" w:cs="Times New Roman"/>
          <w:sz w:val="16"/>
          <w:szCs w:val="16"/>
        </w:rPr>
      </w:pPr>
    </w:p>
    <w:p w:rsidR="006D3FA7" w:rsidRDefault="006D3FA7" w:rsidP="006D3FA7">
      <w:pPr>
        <w:spacing w:after="200" w:line="240" w:lineRule="auto"/>
        <w:ind w:left="284" w:hanging="284"/>
        <w:contextualSpacing/>
        <w:jc w:val="both"/>
        <w:rPr>
          <w:rFonts w:ascii="Baskerville Old Face" w:eastAsia="Times New Roman" w:hAnsi="Baskerville Old Face" w:cs="Times New Roman"/>
          <w:sz w:val="16"/>
          <w:szCs w:val="16"/>
        </w:rPr>
      </w:pPr>
      <w:r>
        <w:rPr>
          <w:rFonts w:ascii="Baskerville Old Face" w:eastAsia="Times New Roman" w:hAnsi="Baskerville Old Face" w:cs="Times New Roman"/>
          <w:sz w:val="16"/>
          <w:szCs w:val="16"/>
        </w:rPr>
        <w:t xml:space="preserve">( </w:t>
      </w:r>
      <w:hyperlink r:id="rId9" w:history="1">
        <w:r w:rsidRPr="00025AC1">
          <w:rPr>
            <w:rStyle w:val="Hipervnculo"/>
            <w:rFonts w:ascii="Baskerville Old Face" w:eastAsia="Times New Roman" w:hAnsi="Baskerville Old Face" w:cs="Times New Roman"/>
            <w:sz w:val="16"/>
            <w:szCs w:val="16"/>
          </w:rPr>
          <w:t>https://coraamoca.gob.do/transparencia/index.php/oai/estadisticas-y-balances-de-la-gestion-oai/category/2103-estadistica-y-balance-de-gestion-de-la-oai-coraamoca-2024</w:t>
        </w:r>
      </w:hyperlink>
      <w:r>
        <w:rPr>
          <w:rFonts w:ascii="Baskerville Old Face" w:eastAsia="Times New Roman" w:hAnsi="Baskerville Old Face" w:cs="Times New Roman"/>
          <w:sz w:val="16"/>
          <w:szCs w:val="16"/>
        </w:rPr>
        <w:t xml:space="preserve"> ).</w:t>
      </w:r>
    </w:p>
    <w:p w:rsidR="006D3FA7" w:rsidRPr="00002597" w:rsidRDefault="006D3FA7" w:rsidP="006D3FA7">
      <w:pPr>
        <w:spacing w:after="200" w:line="240" w:lineRule="auto"/>
        <w:ind w:left="284" w:hanging="284"/>
        <w:contextualSpacing/>
        <w:jc w:val="both"/>
        <w:rPr>
          <w:rFonts w:ascii="Baskerville Old Face" w:eastAsia="Times New Roman" w:hAnsi="Baskerville Old Face" w:cs="Times New Roman"/>
          <w:sz w:val="16"/>
          <w:szCs w:val="16"/>
        </w:rPr>
      </w:pPr>
    </w:p>
    <w:p w:rsidR="00C33642" w:rsidRDefault="00C33642" w:rsidP="006D3FA7">
      <w:pPr>
        <w:spacing w:after="200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</w:p>
    <w:p w:rsidR="00C33642" w:rsidRDefault="00C33642" w:rsidP="006D3FA7">
      <w:pPr>
        <w:spacing w:after="200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</w:p>
    <w:p w:rsidR="006D3FA7" w:rsidRDefault="006D3FA7" w:rsidP="006D3FA7">
      <w:pPr>
        <w:spacing w:after="200" w:line="240" w:lineRule="auto"/>
        <w:ind w:left="284" w:hanging="284"/>
        <w:contextualSpacing/>
        <w:jc w:val="center"/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</w:pPr>
      <w:r w:rsidRPr="00002597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  <w:t xml:space="preserve">Matriz de </w:t>
      </w:r>
      <w:r w:rsidRPr="00002597"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>esta</w:t>
      </w:r>
      <w:r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>dística de gestión</w:t>
      </w:r>
      <w:r w:rsidRPr="00002597"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>.</w:t>
      </w:r>
    </w:p>
    <w:p w:rsidR="00C33642" w:rsidRPr="00002597" w:rsidRDefault="00C33642" w:rsidP="006D3FA7">
      <w:pPr>
        <w:spacing w:after="200" w:line="240" w:lineRule="auto"/>
        <w:ind w:left="284" w:hanging="284"/>
        <w:contextualSpacing/>
        <w:jc w:val="center"/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</w:pPr>
    </w:p>
    <w:tbl>
      <w:tblPr>
        <w:tblStyle w:val="Tablaconcuadrcula2"/>
        <w:tblW w:w="8288" w:type="dxa"/>
        <w:tblInd w:w="284" w:type="dxa"/>
        <w:tblLook w:val="04A0" w:firstRow="1" w:lastRow="0" w:firstColumn="1" w:lastColumn="0" w:noHBand="0" w:noVBand="1"/>
      </w:tblPr>
      <w:tblGrid>
        <w:gridCol w:w="1387"/>
        <w:gridCol w:w="979"/>
        <w:gridCol w:w="1087"/>
        <w:gridCol w:w="1409"/>
        <w:gridCol w:w="1589"/>
        <w:gridCol w:w="1837"/>
      </w:tblGrid>
      <w:tr w:rsidR="006D3FA7" w:rsidRPr="00002597" w:rsidTr="00844437">
        <w:trPr>
          <w:trHeight w:val="744"/>
        </w:trPr>
        <w:tc>
          <w:tcPr>
            <w:tcW w:w="0" w:type="auto"/>
            <w:shd w:val="clear" w:color="auto" w:fill="5B9BD5" w:themeFill="accent1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Medio de solicitud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Recibidas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Pendientes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Resueltas en 5 días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Rechazadas en 5 días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Remitidas a otra institución</w:t>
            </w:r>
          </w:p>
        </w:tc>
      </w:tr>
      <w:tr w:rsidR="006D3FA7" w:rsidRPr="00002597" w:rsidTr="00844437">
        <w:trPr>
          <w:trHeight w:val="383"/>
        </w:trPr>
        <w:tc>
          <w:tcPr>
            <w:tcW w:w="0" w:type="auto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Física</w:t>
            </w:r>
          </w:p>
        </w:tc>
        <w:tc>
          <w:tcPr>
            <w:tcW w:w="0" w:type="auto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</w:tr>
      <w:tr w:rsidR="006D3FA7" w:rsidRPr="00002597" w:rsidTr="00844437">
        <w:trPr>
          <w:trHeight w:val="360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Portal SAIP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6D3FA7" w:rsidRPr="00002597" w:rsidRDefault="00590EB6" w:rsidP="0084443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6D3FA7" w:rsidRPr="00002597" w:rsidRDefault="00590EB6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</w:tr>
      <w:tr w:rsidR="006D3FA7" w:rsidRPr="00002597" w:rsidTr="00844437">
        <w:trPr>
          <w:trHeight w:val="360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6D3FA7" w:rsidRPr="00002597" w:rsidRDefault="00590EB6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6D3FA7" w:rsidRPr="00002597" w:rsidRDefault="00590EB6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6D3FA7" w:rsidRPr="00002597" w:rsidRDefault="006D3FA7" w:rsidP="00844437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0</w:t>
            </w:r>
          </w:p>
        </w:tc>
      </w:tr>
    </w:tbl>
    <w:p w:rsidR="006D3FA7" w:rsidRPr="00002597" w:rsidRDefault="006D3FA7" w:rsidP="006D3FA7">
      <w:pPr>
        <w:spacing w:after="200" w:line="240" w:lineRule="auto"/>
        <w:ind w:left="284" w:hanging="284"/>
        <w:contextualSpacing/>
        <w:jc w:val="center"/>
        <w:rPr>
          <w:rFonts w:ascii="Baskerville Old Face" w:eastAsia="Times New Roman" w:hAnsi="Baskerville Old Face" w:cs="Times New Roman"/>
          <w:sz w:val="28"/>
          <w:szCs w:val="28"/>
        </w:rPr>
      </w:pPr>
    </w:p>
    <w:p w:rsidR="00C33642" w:rsidRDefault="00C33642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476809" w:rsidRPr="006D3FA7" w:rsidRDefault="00476809" w:rsidP="00476809">
      <w:pPr>
        <w:spacing w:after="200" w:line="240" w:lineRule="auto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</w:p>
    <w:p w:rsidR="00476809" w:rsidRPr="006D3FA7" w:rsidRDefault="00476809" w:rsidP="00476809">
      <w:pPr>
        <w:spacing w:after="200" w:line="240" w:lineRule="auto"/>
        <w:contextualSpacing/>
        <w:jc w:val="both"/>
        <w:rPr>
          <w:rFonts w:ascii="Baskerville Old Face" w:eastAsia="Times New Roman" w:hAnsi="Baskerville Old Face" w:cs="Times New Roman"/>
          <w:b/>
          <w:sz w:val="28"/>
          <w:szCs w:val="28"/>
        </w:rPr>
      </w:pPr>
      <w:r w:rsidRPr="006D3FA7">
        <w:rPr>
          <w:rFonts w:ascii="Baskerville Old Face" w:eastAsia="Times New Roman" w:hAnsi="Baskerville Old Face" w:cs="Times New Roman"/>
          <w:b/>
          <w:sz w:val="28"/>
          <w:szCs w:val="28"/>
        </w:rPr>
        <w:t>Resultado Sistema de Quejas, Reclamos y Sugerencias:</w:t>
      </w:r>
    </w:p>
    <w:p w:rsidR="00476809" w:rsidRPr="006D3FA7" w:rsidRDefault="00476809" w:rsidP="00476809">
      <w:pPr>
        <w:spacing w:after="200" w:line="240" w:lineRule="auto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  <w:r w:rsidRPr="006D3FA7">
        <w:rPr>
          <w:rFonts w:ascii="Baskerville Old Face" w:eastAsia="Times New Roman" w:hAnsi="Baskerville Old Face" w:cs="Times New Roman"/>
          <w:sz w:val="24"/>
          <w:szCs w:val="24"/>
        </w:rPr>
        <w:t xml:space="preserve">- </w:t>
      </w:r>
      <w:r w:rsidRPr="006D3FA7">
        <w:rPr>
          <w:rFonts w:ascii="Baskerville Old Face" w:eastAsia="Times New Roman" w:hAnsi="Baskerville Old Face" w:cs="Times New Roman"/>
          <w:color w:val="FF0000"/>
          <w:sz w:val="24"/>
          <w:szCs w:val="24"/>
        </w:rPr>
        <w:t xml:space="preserve">Resultados generales de la LINEA 311: </w:t>
      </w:r>
      <w:r w:rsidRPr="006D3FA7">
        <w:rPr>
          <w:rFonts w:ascii="Baskerville Old Face" w:eastAsia="Times New Roman" w:hAnsi="Baskerville Old Face" w:cs="Times New Roman"/>
          <w:sz w:val="24"/>
          <w:szCs w:val="24"/>
        </w:rPr>
        <w:t xml:space="preserve">durante el período ENERO-JUNIO 2024, se recibió </w:t>
      </w:r>
      <w:r w:rsidRPr="006D3FA7">
        <w:rPr>
          <w:rFonts w:ascii="Baskerville Old Face" w:eastAsia="Times New Roman" w:hAnsi="Baskerville Old Face" w:cs="Times New Roman"/>
          <w:color w:val="4472C4" w:themeColor="accent5"/>
          <w:sz w:val="24"/>
          <w:szCs w:val="24"/>
        </w:rPr>
        <w:t xml:space="preserve">UNA (1) RECLAMACION </w:t>
      </w:r>
      <w:r w:rsidRPr="006D3FA7">
        <w:rPr>
          <w:rFonts w:ascii="Baskerville Old Face" w:eastAsia="Times New Roman" w:hAnsi="Baskerville Old Face" w:cs="Times New Roman"/>
          <w:sz w:val="24"/>
          <w:szCs w:val="24"/>
        </w:rPr>
        <w:t xml:space="preserve">por esta vía LINEA 311 sobre Quejas, reclamaciones, denuncias, sugerencias. </w:t>
      </w:r>
    </w:p>
    <w:p w:rsidR="00476809" w:rsidRPr="006D3FA7" w:rsidRDefault="00476809" w:rsidP="00476809">
      <w:pPr>
        <w:spacing w:after="0" w:line="180" w:lineRule="atLeast"/>
        <w:jc w:val="center"/>
        <w:rPr>
          <w:rFonts w:ascii="Calibri" w:eastAsia="Times New Roman" w:hAnsi="Calibri" w:cs="Times New Roman"/>
        </w:rPr>
      </w:pPr>
      <w:r w:rsidRPr="006D3FA7">
        <w:rPr>
          <w:rFonts w:ascii="Calibri" w:eastAsia="Times New Roman" w:hAnsi="Calibri" w:cs="Times New Roman"/>
        </w:rPr>
        <w:lastRenderedPageBreak/>
        <w:t xml:space="preserve">Estadística </w:t>
      </w:r>
      <w:r w:rsidRPr="006D3FA7">
        <w:rPr>
          <w:rFonts w:ascii="Calibri" w:eastAsia="Times New Roman" w:hAnsi="Calibri" w:cs="Times New Roman"/>
          <w:b/>
          <w:sz w:val="24"/>
          <w:szCs w:val="24"/>
        </w:rPr>
        <w:t>LINEA 311</w:t>
      </w:r>
      <w:r w:rsidRPr="006D3FA7">
        <w:rPr>
          <w:rFonts w:ascii="Calibri" w:eastAsia="Times New Roman" w:hAnsi="Calibri" w:cs="Times New Roman"/>
        </w:rPr>
        <w:t xml:space="preserve"> Periodo </w:t>
      </w:r>
      <w:r w:rsidRPr="006D3FA7">
        <w:rPr>
          <w:rFonts w:ascii="Calibri" w:eastAsia="Times New Roman" w:hAnsi="Calibri" w:cs="Times New Roman"/>
          <w:b/>
        </w:rPr>
        <w:t>ENERO-JUNIO, de 2024.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4"/>
        <w:gridCol w:w="3034"/>
        <w:gridCol w:w="1035"/>
        <w:gridCol w:w="1127"/>
        <w:gridCol w:w="1238"/>
        <w:gridCol w:w="2215"/>
      </w:tblGrid>
      <w:tr w:rsidR="004A257B" w:rsidRPr="006D3FA7" w:rsidTr="004A257B">
        <w:trPr>
          <w:trHeight w:val="419"/>
          <w:jc w:val="center"/>
        </w:trPr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6D3FA7">
              <w:rPr>
                <w:rFonts w:ascii="Calibri" w:eastAsia="Times New Roman" w:hAnsi="Calibri" w:cs="Times New Roman"/>
                <w:b/>
              </w:rPr>
              <w:t>Mes Y Año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6D3FA7">
              <w:rPr>
                <w:rFonts w:ascii="Calibri" w:eastAsia="Times New Roman" w:hAnsi="Calibri" w:cs="Times New Roman"/>
                <w:b/>
              </w:rPr>
              <w:t>Quejas/sugerencias/denuncias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6D3FA7">
              <w:rPr>
                <w:rFonts w:ascii="Calibri" w:eastAsia="Times New Roman" w:hAnsi="Calibri" w:cs="Times New Roman"/>
                <w:b/>
              </w:rPr>
              <w:t>Cantidad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6D3FA7">
              <w:rPr>
                <w:rFonts w:ascii="Calibri" w:eastAsia="Times New Roman" w:hAnsi="Calibri" w:cs="Times New Roman"/>
                <w:b/>
              </w:rPr>
              <w:t>Cantidad resueltas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6D3FA7">
              <w:rPr>
                <w:rFonts w:ascii="Calibri" w:eastAsia="Times New Roman" w:hAnsi="Calibri" w:cs="Times New Roman"/>
                <w:b/>
              </w:rPr>
              <w:t>Pendientes</w:t>
            </w:r>
          </w:p>
        </w:tc>
        <w:tc>
          <w:tcPr>
            <w:tcW w:w="2215" w:type="dxa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Detalles</w:t>
            </w:r>
          </w:p>
        </w:tc>
      </w:tr>
      <w:tr w:rsidR="004A257B" w:rsidRPr="006D3FA7" w:rsidTr="004A257B">
        <w:trPr>
          <w:trHeight w:val="419"/>
          <w:jc w:val="center"/>
        </w:trPr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OCT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UNA RECLAMACION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UNA (1)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 w:rsidRPr="006D3FA7">
              <w:rPr>
                <w:rFonts w:ascii="Calibri" w:eastAsia="Times New Roman" w:hAnsi="Calibri" w:cs="Times New Roman"/>
              </w:rPr>
              <w:t>CERO (0)</w:t>
            </w:r>
          </w:p>
        </w:tc>
        <w:tc>
          <w:tcPr>
            <w:tcW w:w="2215" w:type="dxa"/>
            <w:vAlign w:val="center"/>
          </w:tcPr>
          <w:p w:rsidR="00846B59" w:rsidRPr="006D3FA7" w:rsidRDefault="004A257B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Posible Spam</w:t>
            </w:r>
          </w:p>
        </w:tc>
      </w:tr>
      <w:tr w:rsidR="004A257B" w:rsidRPr="006D3FA7" w:rsidTr="004A257B">
        <w:trPr>
          <w:trHeight w:val="419"/>
          <w:jc w:val="center"/>
        </w:trPr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 w:rsidRPr="00846B59">
              <w:rPr>
                <w:rFonts w:ascii="Calibri" w:eastAsia="Times New Roman" w:hAnsi="Calibri" w:cs="Times New Roman"/>
              </w:rPr>
              <w:t>NOV</w:t>
            </w:r>
          </w:p>
        </w:tc>
        <w:tc>
          <w:tcPr>
            <w:tcW w:w="0" w:type="auto"/>
            <w:vAlign w:val="center"/>
          </w:tcPr>
          <w:p w:rsidR="00846B59" w:rsidRDefault="004A257B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- </w:t>
            </w:r>
            <w:r w:rsidR="00846B59" w:rsidRPr="00846B59">
              <w:rPr>
                <w:rFonts w:ascii="Calibri" w:eastAsia="Times New Roman" w:hAnsi="Calibri" w:cs="Times New Roman"/>
              </w:rPr>
              <w:t>UNA RECLAMACION</w:t>
            </w:r>
          </w:p>
          <w:p w:rsidR="004A257B" w:rsidRDefault="004A257B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4A257B" w:rsidRDefault="004A257B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4A257B" w:rsidRDefault="004A257B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846B59" w:rsidRPr="006D3FA7" w:rsidRDefault="004A257B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- </w:t>
            </w:r>
            <w:r w:rsidR="00846B59" w:rsidRPr="00846B59">
              <w:rPr>
                <w:rFonts w:ascii="Calibri" w:eastAsia="Times New Roman" w:hAnsi="Calibri" w:cs="Times New Roman"/>
              </w:rPr>
              <w:t>UNA QUEJA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 w:rsidRPr="00846B59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DOS (2)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 w:rsidRPr="006D3FA7">
              <w:rPr>
                <w:rFonts w:ascii="Calibri" w:eastAsia="Times New Roman" w:hAnsi="Calibri" w:cs="Times New Roman"/>
              </w:rPr>
              <w:t>CERO (0)</w:t>
            </w:r>
          </w:p>
        </w:tc>
        <w:tc>
          <w:tcPr>
            <w:tcW w:w="2215" w:type="dxa"/>
            <w:vAlign w:val="center"/>
          </w:tcPr>
          <w:p w:rsidR="00846B59" w:rsidRDefault="004A257B" w:rsidP="004A257B">
            <w:pPr>
              <w:spacing w:after="0" w:line="18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-Posible Spam</w:t>
            </w:r>
          </w:p>
          <w:p w:rsidR="004A257B" w:rsidRDefault="004A257B" w:rsidP="004A257B">
            <w:pPr>
              <w:spacing w:after="0" w:line="180" w:lineRule="atLeast"/>
              <w:rPr>
                <w:rFonts w:ascii="Calibri" w:eastAsia="Times New Roman" w:hAnsi="Calibri" w:cs="Times New Roman"/>
              </w:rPr>
            </w:pPr>
          </w:p>
          <w:p w:rsidR="004A257B" w:rsidRPr="006D3FA7" w:rsidRDefault="004A257B" w:rsidP="004A257B">
            <w:pPr>
              <w:spacing w:after="0" w:line="18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-En </w:t>
            </w:r>
            <w:proofErr w:type="spellStart"/>
            <w:r>
              <w:rPr>
                <w:rFonts w:ascii="Calibri" w:eastAsia="Times New Roman" w:hAnsi="Calibri" w:cs="Times New Roman"/>
              </w:rPr>
              <w:t>Calac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2 hacen 2 semanas de </w:t>
            </w:r>
            <w:proofErr w:type="spellStart"/>
            <w:r>
              <w:rPr>
                <w:rFonts w:ascii="Calibri" w:eastAsia="Times New Roman" w:hAnsi="Calibri" w:cs="Times New Roman"/>
              </w:rPr>
              <w:t>Coraamoca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trabajaron y dejaron una </w:t>
            </w:r>
            <w:proofErr w:type="spellStart"/>
            <w:r>
              <w:rPr>
                <w:rFonts w:ascii="Calibri" w:eastAsia="Times New Roman" w:hAnsi="Calibri" w:cs="Times New Roman"/>
              </w:rPr>
              <w:t>sanja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abierta y con las lluvias se rebosa el agua negra.</w:t>
            </w:r>
          </w:p>
        </w:tc>
      </w:tr>
      <w:tr w:rsidR="004A257B" w:rsidRPr="006D3FA7" w:rsidTr="004A257B">
        <w:trPr>
          <w:trHeight w:val="419"/>
          <w:jc w:val="center"/>
        </w:trPr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DIC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UNA QUEJA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UNA (1)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</w:rPr>
            </w:pPr>
            <w:r w:rsidRPr="006D3FA7">
              <w:rPr>
                <w:rFonts w:ascii="Calibri" w:eastAsia="Times New Roman" w:hAnsi="Calibri" w:cs="Times New Roman"/>
              </w:rPr>
              <w:t>CERO (0)</w:t>
            </w:r>
          </w:p>
        </w:tc>
        <w:tc>
          <w:tcPr>
            <w:tcW w:w="2215" w:type="dxa"/>
            <w:vAlign w:val="center"/>
          </w:tcPr>
          <w:p w:rsidR="00846B59" w:rsidRPr="006D3FA7" w:rsidRDefault="00AA51E2" w:rsidP="00AA51E2">
            <w:pPr>
              <w:spacing w:after="0" w:line="18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 Cada vez que voy a pagar el servicio no tienen devuelta y nunca me la pagan.</w:t>
            </w:r>
          </w:p>
        </w:tc>
      </w:tr>
      <w:tr w:rsidR="004A257B" w:rsidRPr="006D3FA7" w:rsidTr="004A257B">
        <w:trPr>
          <w:trHeight w:val="419"/>
          <w:jc w:val="center"/>
        </w:trPr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846B59">
              <w:rPr>
                <w:rFonts w:ascii="Calibri" w:eastAsia="Times New Roman" w:hAnsi="Calibri" w:cs="Times New Roman"/>
                <w:b/>
              </w:rPr>
              <w:t>TOTAL</w:t>
            </w:r>
          </w:p>
        </w:tc>
        <w:tc>
          <w:tcPr>
            <w:tcW w:w="0" w:type="auto"/>
            <w:vAlign w:val="center"/>
          </w:tcPr>
          <w:p w:rsidR="00846B59" w:rsidRPr="00846B59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846B59">
              <w:rPr>
                <w:rFonts w:ascii="Calibri" w:eastAsia="Times New Roman" w:hAnsi="Calibri" w:cs="Times New Roman"/>
                <w:b/>
              </w:rPr>
              <w:t>DOS RECLAMACIONES</w:t>
            </w:r>
          </w:p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846B59">
              <w:rPr>
                <w:rFonts w:ascii="Calibri" w:eastAsia="Times New Roman" w:hAnsi="Calibri" w:cs="Times New Roman"/>
                <w:b/>
              </w:rPr>
              <w:t>DOS QUEJAS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846B59">
              <w:rPr>
                <w:rFonts w:ascii="Calibri" w:eastAsia="Times New Roman" w:hAnsi="Calibri" w:cs="Times New Roman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846B59">
              <w:rPr>
                <w:rFonts w:ascii="Calibri" w:eastAsia="Times New Roman" w:hAnsi="Calibri" w:cs="Times New Roman"/>
                <w:b/>
              </w:rPr>
              <w:t>SIETE (7)</w:t>
            </w:r>
          </w:p>
        </w:tc>
        <w:tc>
          <w:tcPr>
            <w:tcW w:w="0" w:type="auto"/>
            <w:vAlign w:val="center"/>
          </w:tcPr>
          <w:p w:rsidR="00846B59" w:rsidRPr="006D3FA7" w:rsidRDefault="00846B59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846B59">
              <w:rPr>
                <w:rFonts w:ascii="Calibri" w:eastAsia="Times New Roman" w:hAnsi="Calibri" w:cs="Times New Roman"/>
                <w:b/>
              </w:rPr>
              <w:t>UNA (1)</w:t>
            </w:r>
          </w:p>
        </w:tc>
        <w:tc>
          <w:tcPr>
            <w:tcW w:w="2215" w:type="dxa"/>
            <w:vAlign w:val="center"/>
          </w:tcPr>
          <w:p w:rsidR="00846B59" w:rsidRPr="00846B59" w:rsidRDefault="00EC677A" w:rsidP="004A257B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En investigación</w:t>
            </w:r>
          </w:p>
        </w:tc>
      </w:tr>
    </w:tbl>
    <w:p w:rsidR="00476809" w:rsidRPr="006D3FA7" w:rsidRDefault="00476809" w:rsidP="00476809">
      <w:pPr>
        <w:spacing w:after="0" w:line="180" w:lineRule="atLeast"/>
        <w:jc w:val="center"/>
        <w:rPr>
          <w:rFonts w:ascii="Calibri" w:eastAsia="Times New Roman" w:hAnsi="Calibri" w:cs="Times New Roman"/>
        </w:rPr>
      </w:pPr>
    </w:p>
    <w:p w:rsidR="00476809" w:rsidRDefault="00846B59" w:rsidP="00476809">
      <w:pPr>
        <w:spacing w:after="200" w:line="240" w:lineRule="auto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  <w:r>
        <w:rPr>
          <w:rFonts w:ascii="Baskerville Old Face" w:eastAsia="Times New Roman" w:hAnsi="Baskerville Old Face" w:cs="Times New Roman"/>
          <w:sz w:val="24"/>
          <w:szCs w:val="24"/>
        </w:rPr>
        <w:t>Detalles:</w:t>
      </w:r>
    </w:p>
    <w:p w:rsidR="00846B59" w:rsidRDefault="006E192E" w:rsidP="00476809">
      <w:pPr>
        <w:spacing w:after="200" w:line="240" w:lineRule="auto"/>
        <w:contextualSpacing/>
        <w:jc w:val="both"/>
        <w:rPr>
          <w:rFonts w:ascii="Baskerville Old Face" w:hAnsi="Baskerville Old Face" w:cs="Arial"/>
          <w:color w:val="1F1F1F"/>
          <w:sz w:val="24"/>
          <w:szCs w:val="24"/>
          <w:shd w:val="clear" w:color="auto" w:fill="FFFFFF"/>
        </w:rPr>
      </w:pPr>
      <w:r>
        <w:rPr>
          <w:rFonts w:ascii="Baskerville Old Face" w:hAnsi="Baskerville Old Face" w:cs="Arial"/>
          <w:color w:val="1F1F1F"/>
          <w:sz w:val="24"/>
          <w:szCs w:val="24"/>
          <w:shd w:val="clear" w:color="auto" w:fill="FFFFFF"/>
        </w:rPr>
        <w:t xml:space="preserve">Octubre: </w:t>
      </w:r>
      <w:r w:rsidR="0040494E">
        <w:rPr>
          <w:rFonts w:ascii="Baskerville Old Face" w:hAnsi="Baskerville Old Face" w:cs="Arial"/>
          <w:color w:val="1F1F1F"/>
          <w:sz w:val="24"/>
          <w:szCs w:val="24"/>
          <w:shd w:val="clear" w:color="auto" w:fill="FFFFFF"/>
        </w:rPr>
        <w:t xml:space="preserve">Reclamación </w:t>
      </w:r>
      <w:r w:rsidR="004A257B">
        <w:rPr>
          <w:rFonts w:ascii="Baskerville Old Face" w:hAnsi="Baskerville Old Face" w:cs="Arial"/>
          <w:color w:val="1F1F1F"/>
          <w:sz w:val="24"/>
          <w:szCs w:val="24"/>
          <w:shd w:val="clear" w:color="auto" w:fill="FFFFFF"/>
        </w:rPr>
        <w:t xml:space="preserve">- </w:t>
      </w:r>
      <w:r w:rsidR="00846B59" w:rsidRPr="00846B59">
        <w:rPr>
          <w:rFonts w:ascii="Baskerville Old Face" w:hAnsi="Baskerville Old Face" w:cs="Arial"/>
          <w:color w:val="1F1F1F"/>
          <w:sz w:val="24"/>
          <w:szCs w:val="24"/>
          <w:shd w:val="clear" w:color="auto" w:fill="FFFFFF"/>
        </w:rPr>
        <w:t>Spam se refiere a </w:t>
      </w:r>
      <w:r w:rsidR="00846B59" w:rsidRPr="00846B59">
        <w:rPr>
          <w:rFonts w:ascii="Baskerville Old Face" w:hAnsi="Baskerville Old Face" w:cs="Arial"/>
          <w:color w:val="040C28"/>
          <w:sz w:val="24"/>
          <w:szCs w:val="24"/>
        </w:rPr>
        <w:t>mensajes no solicitados y no deseados</w:t>
      </w:r>
      <w:r w:rsidR="00846B59" w:rsidRPr="00846B59">
        <w:rPr>
          <w:rFonts w:ascii="Baskerville Old Face" w:hAnsi="Baskerville Old Face" w:cs="Arial"/>
          <w:color w:val="1F1F1F"/>
          <w:sz w:val="24"/>
          <w:szCs w:val="24"/>
          <w:shd w:val="clear" w:color="auto" w:fill="FFFFFF"/>
        </w:rPr>
        <w:t>. Por lo general, los mensajes de spam no vienen de otro teléfono. Principalmente provienen de una computadora y se envían mediante una dirección de correo electrónico o una cuenta de mensajería instantánea.</w:t>
      </w:r>
      <w:r w:rsidR="004A257B">
        <w:rPr>
          <w:rFonts w:ascii="Baskerville Old Face" w:hAnsi="Baskerville Old Face" w:cs="Arial"/>
          <w:color w:val="1F1F1F"/>
          <w:sz w:val="24"/>
          <w:szCs w:val="24"/>
          <w:shd w:val="clear" w:color="auto" w:fill="FFFFFF"/>
        </w:rPr>
        <w:t xml:space="preserve"> </w:t>
      </w:r>
    </w:p>
    <w:p w:rsidR="004A257B" w:rsidRDefault="004A257B" w:rsidP="00476809">
      <w:pPr>
        <w:spacing w:after="200" w:line="240" w:lineRule="auto"/>
        <w:contextualSpacing/>
        <w:jc w:val="both"/>
        <w:rPr>
          <w:rFonts w:ascii="Baskerville Old Face" w:hAnsi="Baskerville Old Face" w:cs="Arial"/>
          <w:color w:val="1F1F1F"/>
          <w:sz w:val="24"/>
          <w:szCs w:val="24"/>
          <w:shd w:val="clear" w:color="auto" w:fill="FFFFFF"/>
        </w:rPr>
      </w:pPr>
    </w:p>
    <w:p w:rsidR="004A257B" w:rsidRDefault="006E192E" w:rsidP="00476809">
      <w:pPr>
        <w:spacing w:after="200" w:line="240" w:lineRule="auto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  <w:r>
        <w:rPr>
          <w:rFonts w:ascii="Baskerville Old Face" w:eastAsia="Times New Roman" w:hAnsi="Baskerville Old Face" w:cs="Times New Roman"/>
          <w:sz w:val="24"/>
          <w:szCs w:val="24"/>
        </w:rPr>
        <w:t xml:space="preserve">Noviembre: </w:t>
      </w:r>
      <w:r w:rsidR="0040494E">
        <w:rPr>
          <w:rFonts w:ascii="Baskerville Old Face" w:eastAsia="Times New Roman" w:hAnsi="Baskerville Old Face" w:cs="Times New Roman"/>
          <w:sz w:val="24"/>
          <w:szCs w:val="24"/>
        </w:rPr>
        <w:t xml:space="preserve">Queja </w:t>
      </w:r>
      <w:r w:rsidR="004A257B">
        <w:rPr>
          <w:rFonts w:ascii="Baskerville Old Face" w:eastAsia="Times New Roman" w:hAnsi="Baskerville Old Face" w:cs="Times New Roman"/>
          <w:sz w:val="24"/>
          <w:szCs w:val="24"/>
        </w:rPr>
        <w:t xml:space="preserve">- En el residencial barrio </w:t>
      </w:r>
      <w:proofErr w:type="spellStart"/>
      <w:r w:rsidR="004A257B">
        <w:rPr>
          <w:rFonts w:ascii="Baskerville Old Face" w:eastAsia="Times New Roman" w:hAnsi="Baskerville Old Face" w:cs="Times New Roman"/>
          <w:sz w:val="24"/>
          <w:szCs w:val="24"/>
        </w:rPr>
        <w:t>Calac</w:t>
      </w:r>
      <w:proofErr w:type="spellEnd"/>
      <w:r w:rsidR="004A257B">
        <w:rPr>
          <w:rFonts w:ascii="Baskerville Old Face" w:eastAsia="Times New Roman" w:hAnsi="Baskerville Old Face" w:cs="Times New Roman"/>
          <w:sz w:val="24"/>
          <w:szCs w:val="24"/>
        </w:rPr>
        <w:t xml:space="preserve"> II</w:t>
      </w:r>
      <w:r w:rsidR="004A257B" w:rsidRPr="004A257B">
        <w:rPr>
          <w:rFonts w:ascii="Baskerville Old Face" w:eastAsia="Times New Roman" w:hAnsi="Baskerville Old Face" w:cs="Times New Roman"/>
          <w:sz w:val="24"/>
          <w:szCs w:val="24"/>
        </w:rPr>
        <w:t xml:space="preserve"> en moca, hace dos semanas desde CORAAMOCA estaban haciendo un trabajo y han dejado unas </w:t>
      </w:r>
      <w:proofErr w:type="spellStart"/>
      <w:r w:rsidR="004A257B" w:rsidRPr="004A257B">
        <w:rPr>
          <w:rFonts w:ascii="Baskerville Old Face" w:eastAsia="Times New Roman" w:hAnsi="Baskerville Old Face" w:cs="Times New Roman"/>
          <w:sz w:val="24"/>
          <w:szCs w:val="24"/>
        </w:rPr>
        <w:t>sanjas</w:t>
      </w:r>
      <w:proofErr w:type="spellEnd"/>
      <w:r w:rsidR="004A257B" w:rsidRPr="004A257B">
        <w:rPr>
          <w:rFonts w:ascii="Baskerville Old Face" w:eastAsia="Times New Roman" w:hAnsi="Baskerville Old Face" w:cs="Times New Roman"/>
          <w:sz w:val="24"/>
          <w:szCs w:val="24"/>
        </w:rPr>
        <w:t xml:space="preserve"> abiertas y ahora el residencial se ha llenado de aguas negras.</w:t>
      </w:r>
    </w:p>
    <w:p w:rsidR="006E192E" w:rsidRDefault="006E192E" w:rsidP="00476809">
      <w:pPr>
        <w:spacing w:after="200" w:line="240" w:lineRule="auto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</w:p>
    <w:p w:rsidR="006E192E" w:rsidRPr="006D3FA7" w:rsidRDefault="006E192E" w:rsidP="00476809">
      <w:pPr>
        <w:spacing w:after="200" w:line="240" w:lineRule="auto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  <w:r>
        <w:rPr>
          <w:rFonts w:ascii="Baskerville Old Face" w:eastAsia="Times New Roman" w:hAnsi="Baskerville Old Face" w:cs="Times New Roman"/>
          <w:sz w:val="24"/>
          <w:szCs w:val="24"/>
        </w:rPr>
        <w:t xml:space="preserve">Diciembre: </w:t>
      </w:r>
      <w:r w:rsidR="0040494E">
        <w:rPr>
          <w:rFonts w:ascii="Baskerville Old Face" w:eastAsia="Times New Roman" w:hAnsi="Baskerville Old Face" w:cs="Times New Roman"/>
          <w:sz w:val="24"/>
          <w:szCs w:val="24"/>
        </w:rPr>
        <w:t xml:space="preserve">Queja </w:t>
      </w:r>
      <w:r>
        <w:rPr>
          <w:rFonts w:ascii="Baskerville Old Face" w:eastAsia="Times New Roman" w:hAnsi="Baskerville Old Face" w:cs="Times New Roman"/>
          <w:sz w:val="24"/>
          <w:szCs w:val="24"/>
        </w:rPr>
        <w:t>- C</w:t>
      </w:r>
      <w:r w:rsidRPr="006E192E">
        <w:rPr>
          <w:rFonts w:ascii="Baskerville Old Face" w:eastAsia="Times New Roman" w:hAnsi="Baskerville Old Face" w:cs="Times New Roman"/>
          <w:sz w:val="24"/>
          <w:szCs w:val="24"/>
        </w:rPr>
        <w:t xml:space="preserve">ada vez que me dirijo a </w:t>
      </w:r>
      <w:r w:rsidR="0040494E" w:rsidRPr="006E192E">
        <w:rPr>
          <w:rFonts w:ascii="Baskerville Old Face" w:eastAsia="Times New Roman" w:hAnsi="Baskerville Old Face" w:cs="Times New Roman"/>
          <w:sz w:val="24"/>
          <w:szCs w:val="24"/>
        </w:rPr>
        <w:t>CORAAMOCA</w:t>
      </w:r>
      <w:r w:rsidRPr="006E192E">
        <w:rPr>
          <w:rFonts w:ascii="Baskerville Old Face" w:eastAsia="Times New Roman" w:hAnsi="Baskerville Old Face" w:cs="Times New Roman"/>
          <w:sz w:val="24"/>
          <w:szCs w:val="24"/>
        </w:rPr>
        <w:t xml:space="preserve"> a pagar el servicio de agua potable la SECRETARIA NUNCA tiene para devolver y me dice que en la PRÓXIMA factura lo va a rebajar, pero en realidad nunca lo hace.</w:t>
      </w:r>
    </w:p>
    <w:p w:rsidR="00476809" w:rsidRPr="006D3FA7" w:rsidRDefault="00476809" w:rsidP="00476809">
      <w:pPr>
        <w:spacing w:after="200" w:line="240" w:lineRule="auto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</w:p>
    <w:p w:rsidR="00476809" w:rsidRPr="006D3FA7" w:rsidRDefault="00476809" w:rsidP="00476809">
      <w:pPr>
        <w:spacing w:after="200" w:line="240" w:lineRule="auto"/>
        <w:contextualSpacing/>
        <w:jc w:val="center"/>
        <w:rPr>
          <w:rFonts w:ascii="Baskerville Old Face" w:eastAsia="Times New Roman" w:hAnsi="Baskerville Old Face" w:cs="Times New Roman"/>
          <w:b/>
          <w:sz w:val="28"/>
          <w:szCs w:val="28"/>
        </w:rPr>
      </w:pPr>
    </w:p>
    <w:p w:rsidR="00C33642" w:rsidRDefault="00C33642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857670" w:rsidRPr="006D3FA7" w:rsidRDefault="00857670" w:rsidP="00857670">
      <w:pPr>
        <w:spacing w:after="0" w:line="240" w:lineRule="auto"/>
        <w:jc w:val="center"/>
        <w:rPr>
          <w:rFonts w:ascii="Edwardian Script ITC" w:eastAsia="Times New Roman" w:hAnsi="Edwardian Script ITC" w:cs="Times New Roman"/>
          <w:b/>
          <w:color w:val="4472C4" w:themeColor="accent5"/>
          <w:sz w:val="44"/>
          <w:szCs w:val="44"/>
        </w:rPr>
      </w:pPr>
      <w:r w:rsidRPr="006D3FA7">
        <w:rPr>
          <w:rFonts w:ascii="Edwardian Script ITC" w:eastAsia="Times New Roman" w:hAnsi="Edwardian Script ITC" w:cs="Times New Roman"/>
          <w:b/>
          <w:color w:val="4472C4" w:themeColor="accent5"/>
          <w:sz w:val="44"/>
          <w:szCs w:val="44"/>
        </w:rPr>
        <w:t>Licda. Patricia Ramos Rosario</w:t>
      </w:r>
    </w:p>
    <w:p w:rsidR="00857670" w:rsidRPr="006D3FA7" w:rsidRDefault="00857670" w:rsidP="00857670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8"/>
          <w:szCs w:val="28"/>
        </w:rPr>
      </w:pPr>
      <w:r w:rsidRPr="006D3FA7">
        <w:rPr>
          <w:rFonts w:ascii="Baskerville Old Face" w:eastAsia="Times New Roman" w:hAnsi="Baskerville Old Face" w:cs="Times New Roman"/>
          <w:sz w:val="28"/>
          <w:szCs w:val="28"/>
        </w:rPr>
        <w:t>Responsable del Acceso a la Información (RAI)</w:t>
      </w:r>
    </w:p>
    <w:p w:rsidR="00C33642" w:rsidRDefault="00C33642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476809" w:rsidRDefault="00476809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476809" w:rsidRDefault="00476809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476809" w:rsidRDefault="00476809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73749F" w:rsidRDefault="0073749F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73749F" w:rsidRDefault="0073749F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73749F" w:rsidRDefault="0073749F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73749F" w:rsidRDefault="0073749F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73749F" w:rsidRDefault="0073749F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73749F" w:rsidRDefault="0073749F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73749F" w:rsidRDefault="0073749F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73749F" w:rsidRDefault="0073749F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73749F" w:rsidRDefault="0073749F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73749F" w:rsidRDefault="0073749F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73749F" w:rsidRDefault="0073749F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73749F" w:rsidRDefault="0073749F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6D3FA7" w:rsidRDefault="00476809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  <w:r>
        <w:rPr>
          <w:rFonts w:ascii="Baskerville Old Face" w:eastAsia="Times New Roman" w:hAnsi="Baskerville Old Face" w:cs="Times New Roman"/>
          <w:sz w:val="20"/>
          <w:szCs w:val="20"/>
        </w:rPr>
        <w:t xml:space="preserve">EVIDENCIAS - </w:t>
      </w:r>
      <w:r w:rsidR="006D3FA7">
        <w:rPr>
          <w:rFonts w:ascii="Baskerville Old Face" w:eastAsia="Times New Roman" w:hAnsi="Baskerville Old Face" w:cs="Times New Roman"/>
          <w:sz w:val="20"/>
          <w:szCs w:val="20"/>
        </w:rPr>
        <w:t xml:space="preserve">PORTAL WEB </w:t>
      </w:r>
      <w:r w:rsidR="00C33642">
        <w:rPr>
          <w:rFonts w:ascii="Baskerville Old Face" w:eastAsia="Times New Roman" w:hAnsi="Baskerville Old Face" w:cs="Times New Roman"/>
          <w:sz w:val="20"/>
          <w:szCs w:val="20"/>
        </w:rPr>
        <w:t>–</w:t>
      </w:r>
      <w:r w:rsidR="006D3FA7">
        <w:rPr>
          <w:rFonts w:ascii="Baskerville Old Face" w:eastAsia="Times New Roman" w:hAnsi="Baskerville Old Face" w:cs="Times New Roman"/>
          <w:sz w:val="20"/>
          <w:szCs w:val="20"/>
        </w:rPr>
        <w:t xml:space="preserve"> SAIP</w:t>
      </w:r>
    </w:p>
    <w:p w:rsidR="00C33642" w:rsidRDefault="00C33642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C33642" w:rsidRDefault="00C33642" w:rsidP="006D3FA7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</w:p>
    <w:p w:rsidR="006D3FA7" w:rsidRDefault="006D3FA7" w:rsidP="006D3FA7">
      <w:r>
        <w:rPr>
          <w:noProof/>
          <w:lang w:eastAsia="es-DO"/>
        </w:rPr>
        <w:drawing>
          <wp:inline distT="0" distB="0" distL="0" distR="0" wp14:anchorId="6651DCC1" wp14:editId="1BA00445">
            <wp:extent cx="5399627" cy="3371353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3642"/>
                    <a:stretch/>
                  </pic:blipFill>
                  <pic:spPr bwMode="auto">
                    <a:xfrm>
                      <a:off x="0" y="0"/>
                      <a:ext cx="5409155" cy="3377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3FA7" w:rsidRDefault="00CF2CE9" w:rsidP="006D3FA7">
      <w:r>
        <w:rPr>
          <w:noProof/>
          <w:lang w:eastAsia="es-DO"/>
        </w:rPr>
        <w:drawing>
          <wp:inline distT="0" distB="0" distL="0" distR="0" wp14:anchorId="3E6CC666" wp14:editId="49D05502">
            <wp:extent cx="5398476" cy="3729161"/>
            <wp:effectExtent l="0" t="0" r="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32149"/>
                    <a:stretch/>
                  </pic:blipFill>
                  <pic:spPr bwMode="auto">
                    <a:xfrm>
                      <a:off x="0" y="0"/>
                      <a:ext cx="5425182" cy="3747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6809" w:rsidRDefault="00476809" w:rsidP="00476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749F" w:rsidRDefault="0073749F" w:rsidP="00476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749F" w:rsidRDefault="0073749F" w:rsidP="00476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749F" w:rsidRDefault="0073749F" w:rsidP="00476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749F" w:rsidRDefault="0073749F" w:rsidP="00476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6809" w:rsidRDefault="00476809" w:rsidP="00476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EVIDENCIA</w:t>
      </w:r>
    </w:p>
    <w:p w:rsidR="00476809" w:rsidRDefault="00476809" w:rsidP="00476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FA7">
        <w:rPr>
          <w:rFonts w:ascii="Times New Roman" w:eastAsia="Times New Roman" w:hAnsi="Times New Roman" w:cs="Times New Roman"/>
          <w:sz w:val="24"/>
          <w:szCs w:val="24"/>
        </w:rPr>
        <w:t xml:space="preserve">Portal web LINEA 311,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D3FA7">
        <w:rPr>
          <w:rFonts w:ascii="Times New Roman" w:eastAsia="Times New Roman" w:hAnsi="Times New Roman" w:cs="Times New Roman"/>
          <w:sz w:val="24"/>
          <w:szCs w:val="24"/>
        </w:rPr>
        <w:t xml:space="preserve"> Quejas, reclamaciones, sugerencias y Denuncias:</w:t>
      </w:r>
    </w:p>
    <w:p w:rsidR="00846B59" w:rsidRPr="006D3FA7" w:rsidRDefault="00846B59" w:rsidP="00476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3FA7" w:rsidRDefault="00476809" w:rsidP="006D3FA7">
      <w:r>
        <w:rPr>
          <w:noProof/>
          <w:lang w:eastAsia="es-DO"/>
        </w:rPr>
        <w:drawing>
          <wp:inline distT="0" distB="0" distL="0" distR="0" wp14:anchorId="26A58762" wp14:editId="1B1E8FF7">
            <wp:extent cx="5400040" cy="310896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7883"/>
                    <a:stretch/>
                  </pic:blipFill>
                  <pic:spPr bwMode="auto">
                    <a:xfrm>
                      <a:off x="0" y="0"/>
                      <a:ext cx="5400040" cy="310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3FA7" w:rsidRDefault="006D3FA7" w:rsidP="006D3FA7"/>
    <w:p w:rsidR="006D3FA7" w:rsidRPr="006D3FA7" w:rsidRDefault="006D3FA7" w:rsidP="006D3FA7">
      <w:pPr>
        <w:spacing w:after="200" w:line="240" w:lineRule="auto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</w:p>
    <w:sectPr w:rsidR="006D3FA7" w:rsidRPr="006D3FA7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354" w:rsidRDefault="00A81354">
      <w:pPr>
        <w:spacing w:after="0" w:line="240" w:lineRule="auto"/>
      </w:pPr>
      <w:r>
        <w:separator/>
      </w:r>
    </w:p>
  </w:endnote>
  <w:endnote w:type="continuationSeparator" w:id="0">
    <w:p w:rsidR="00A81354" w:rsidRDefault="00A8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354" w:rsidRDefault="00A81354">
      <w:pPr>
        <w:spacing w:after="0" w:line="240" w:lineRule="auto"/>
      </w:pPr>
      <w:r>
        <w:separator/>
      </w:r>
    </w:p>
  </w:footnote>
  <w:footnote w:type="continuationSeparator" w:id="0">
    <w:p w:rsidR="00A81354" w:rsidRDefault="00A8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FFB" w:rsidRDefault="00857670">
    <w:pPr>
      <w:pStyle w:val="Encabezado"/>
    </w:pPr>
    <w:r>
      <w:rPr>
        <w:noProof/>
        <w:lang w:eastAsia="es-DO"/>
      </w:rPr>
      <w:drawing>
        <wp:inline distT="0" distB="0" distL="0" distR="0" wp14:anchorId="3D17044B" wp14:editId="370C92F4">
          <wp:extent cx="5400040" cy="678815"/>
          <wp:effectExtent l="0" t="0" r="0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Nuevo 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3B12"/>
    <w:multiLevelType w:val="hybridMultilevel"/>
    <w:tmpl w:val="2438DC9C"/>
    <w:lvl w:ilvl="0" w:tplc="029213FC">
      <w:numFmt w:val="bullet"/>
      <w:lvlText w:val="-"/>
      <w:lvlJc w:val="left"/>
      <w:pPr>
        <w:ind w:left="1080" w:hanging="360"/>
      </w:pPr>
      <w:rPr>
        <w:rFonts w:ascii="Baskerville Old Face" w:eastAsia="Times New Roman" w:hAnsi="Baskerville Old Face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A7"/>
    <w:rsid w:val="000D6078"/>
    <w:rsid w:val="00271972"/>
    <w:rsid w:val="0040494E"/>
    <w:rsid w:val="00476809"/>
    <w:rsid w:val="004A257B"/>
    <w:rsid w:val="00590EB6"/>
    <w:rsid w:val="006D3FA7"/>
    <w:rsid w:val="006E192E"/>
    <w:rsid w:val="0073749F"/>
    <w:rsid w:val="00846B59"/>
    <w:rsid w:val="00857670"/>
    <w:rsid w:val="00965D02"/>
    <w:rsid w:val="00A43FD9"/>
    <w:rsid w:val="00A81354"/>
    <w:rsid w:val="00AA51E2"/>
    <w:rsid w:val="00C33642"/>
    <w:rsid w:val="00CF2CE9"/>
    <w:rsid w:val="00EC677A"/>
    <w:rsid w:val="00F0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520C9C-AEE1-4D07-B2B3-D4A246E8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F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39"/>
    <w:rsid w:val="006D3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D3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FA7"/>
  </w:style>
  <w:style w:type="character" w:styleId="Hipervnculo">
    <w:name w:val="Hyperlink"/>
    <w:basedOn w:val="Fuentedeprrafopredeter"/>
    <w:uiPriority w:val="99"/>
    <w:unhideWhenUsed/>
    <w:rsid w:val="006D3FA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3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A2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coraamoca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raamoca.gob.do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oraamoca.gob.do/transparencia/index.php/oai/estadisticas-y-balances-de-la-gestion-oai/category/2103-estadistica-y-balance-de-gestion-de-la-oai-coraamoca-202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2025-01-17T19:36:00Z</dcterms:created>
  <dcterms:modified xsi:type="dcterms:W3CDTF">2025-01-17T19:36:00Z</dcterms:modified>
</cp:coreProperties>
</file>