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27" w:rsidRPr="005F15B8" w:rsidRDefault="00024927" w:rsidP="00024927">
      <w:pPr>
        <w:spacing w:after="0" w:line="240" w:lineRule="auto"/>
        <w:jc w:val="center"/>
        <w:rPr>
          <w:rFonts w:ascii="Times New Roman" w:eastAsia="Times New Roman" w:hAnsi="Times New Roman" w:cs="Times New Roman"/>
          <w:b/>
          <w:bCs/>
          <w:sz w:val="24"/>
          <w:szCs w:val="24"/>
          <w:lang w:val="es-HN" w:eastAsia="es-ES"/>
        </w:rPr>
      </w:pPr>
      <w:bookmarkStart w:id="0" w:name="_GoBack"/>
      <w:bookmarkEnd w:id="0"/>
      <w:r w:rsidRPr="005F15B8">
        <w:rPr>
          <w:rFonts w:ascii="Times New Roman" w:eastAsiaTheme="minorHAnsi" w:hAnsi="Times New Roman" w:cs="Times New Roman"/>
          <w:b/>
          <w:bCs/>
          <w:sz w:val="24"/>
          <w:szCs w:val="24"/>
          <w:lang w:val="es-HN" w:eastAsia="es-ES"/>
        </w:rPr>
        <w:t>FRAUDE Y CORRUPCIÓN</w:t>
      </w:r>
    </w:p>
    <w:p w:rsidR="00024927" w:rsidRPr="005F15B8" w:rsidRDefault="00024927" w:rsidP="00024927">
      <w:pPr>
        <w:spacing w:after="0" w:line="240" w:lineRule="auto"/>
        <w:jc w:val="center"/>
        <w:rPr>
          <w:rFonts w:ascii="Times New Roman" w:eastAsiaTheme="minorHAnsi" w:hAnsi="Times New Roman" w:cs="Times New Roman"/>
          <w:color w:val="0070C0"/>
          <w:sz w:val="24"/>
          <w:szCs w:val="24"/>
          <w:lang w:val="es-HN" w:eastAsia="es-ES"/>
        </w:rPr>
      </w:pPr>
      <w:r w:rsidRPr="005F15B8">
        <w:rPr>
          <w:rFonts w:ascii="Times New Roman" w:eastAsiaTheme="minorHAnsi" w:hAnsi="Times New Roman" w:cs="Times New Roman"/>
          <w:color w:val="0070C0"/>
          <w:sz w:val="24"/>
          <w:szCs w:val="24"/>
          <w:lang w:val="es-HN" w:eastAsia="es-ES"/>
        </w:rPr>
        <w:t xml:space="preserve"> [El texto de este anexo </w:t>
      </w:r>
      <w:r w:rsidRPr="005F15B8">
        <w:rPr>
          <w:rFonts w:ascii="Times New Roman" w:eastAsiaTheme="minorHAnsi" w:hAnsi="Times New Roman" w:cs="Times New Roman"/>
          <w:color w:val="0070C0"/>
          <w:sz w:val="24"/>
          <w:szCs w:val="24"/>
          <w:u w:val="single"/>
          <w:lang w:val="es-HN" w:eastAsia="es-ES"/>
        </w:rPr>
        <w:t>no deberá</w:t>
      </w:r>
      <w:r w:rsidRPr="005F15B8">
        <w:rPr>
          <w:rFonts w:ascii="Times New Roman" w:eastAsiaTheme="minorHAnsi" w:hAnsi="Times New Roman" w:cs="Times New Roman"/>
          <w:color w:val="0070C0"/>
          <w:sz w:val="24"/>
          <w:szCs w:val="24"/>
          <w:lang w:val="es-HN" w:eastAsia="es-ES"/>
        </w:rPr>
        <w:t xml:space="preserve"> modificarse]</w:t>
      </w:r>
    </w:p>
    <w:p w:rsidR="00024927" w:rsidRPr="005F15B8" w:rsidRDefault="00024927" w:rsidP="00024927">
      <w:pPr>
        <w:numPr>
          <w:ilvl w:val="0"/>
          <w:numId w:val="1"/>
        </w:numPr>
        <w:spacing w:after="0" w:line="240" w:lineRule="auto"/>
        <w:contextualSpacing/>
        <w:jc w:val="both"/>
        <w:rPr>
          <w:rFonts w:ascii="Times New Roman" w:eastAsiaTheme="minorHAnsi" w:hAnsi="Times New Roman" w:cs="Times New Roman"/>
          <w:b/>
          <w:sz w:val="24"/>
          <w:szCs w:val="24"/>
          <w:lang w:val="es-HN" w:eastAsia="es-ES"/>
        </w:rPr>
      </w:pPr>
      <w:r w:rsidRPr="005F15B8">
        <w:rPr>
          <w:rFonts w:ascii="Times New Roman" w:eastAsiaTheme="minorHAnsi" w:hAnsi="Times New Roman" w:cs="Times New Roman"/>
          <w:b/>
          <w:bCs/>
          <w:sz w:val="24"/>
          <w:szCs w:val="24"/>
          <w:lang w:val="es-HN" w:eastAsia="es-ES"/>
        </w:rPr>
        <w:t>Propósito</w:t>
      </w:r>
    </w:p>
    <w:p w:rsidR="00024927" w:rsidRPr="005F15B8" w:rsidRDefault="00024927" w:rsidP="00024927">
      <w:pPr>
        <w:ind w:left="360"/>
        <w:contextualSpacing/>
        <w:jc w:val="both"/>
        <w:rPr>
          <w:rFonts w:ascii="Times New Roman" w:eastAsiaTheme="minorHAnsi" w:hAnsi="Times New Roman" w:cs="Times New Roman"/>
          <w:b/>
          <w:sz w:val="24"/>
          <w:szCs w:val="24"/>
          <w:lang w:val="es-HN" w:eastAsia="es-ES"/>
        </w:rPr>
      </w:pPr>
    </w:p>
    <w:p w:rsidR="00024927" w:rsidRPr="005F15B8" w:rsidRDefault="00024927" w:rsidP="00024927">
      <w:pPr>
        <w:numPr>
          <w:ilvl w:val="1"/>
          <w:numId w:val="1"/>
        </w:numPr>
        <w:spacing w:after="0" w:line="240" w:lineRule="auto"/>
        <w:ind w:left="360"/>
        <w:contextualSpacing/>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sz w:val="24"/>
          <w:szCs w:val="24"/>
          <w:lang w:val="es-HN" w:eastAsia="es-ES"/>
        </w:rPr>
        <w:t>Las Directrices Contra el Fraude y la Corrupción del Banco y este anexo se aplicarán a las adquisiciones en el marco de las operaciones de Financiamiento para Proyectos de Inversión del Banco.</w:t>
      </w:r>
    </w:p>
    <w:p w:rsidR="00024927" w:rsidRPr="005F15B8" w:rsidRDefault="00024927" w:rsidP="00024927">
      <w:pPr>
        <w:spacing w:line="240" w:lineRule="auto"/>
        <w:ind w:left="360"/>
        <w:contextualSpacing/>
        <w:jc w:val="both"/>
        <w:rPr>
          <w:rFonts w:ascii="Times New Roman" w:eastAsiaTheme="minorHAnsi" w:hAnsi="Times New Roman" w:cs="Times New Roman"/>
          <w:sz w:val="24"/>
          <w:szCs w:val="24"/>
          <w:lang w:val="es-HN" w:eastAsia="es-ES"/>
        </w:rPr>
      </w:pPr>
    </w:p>
    <w:p w:rsidR="00024927" w:rsidRPr="005F15B8" w:rsidRDefault="00024927" w:rsidP="00024927">
      <w:pPr>
        <w:numPr>
          <w:ilvl w:val="0"/>
          <w:numId w:val="1"/>
        </w:numPr>
        <w:spacing w:after="0" w:line="240" w:lineRule="auto"/>
        <w:contextualSpacing/>
        <w:jc w:val="both"/>
        <w:rPr>
          <w:rFonts w:ascii="Times New Roman" w:eastAsiaTheme="minorHAnsi" w:hAnsi="Times New Roman" w:cs="Times New Roman"/>
          <w:b/>
          <w:sz w:val="24"/>
          <w:szCs w:val="24"/>
          <w:lang w:val="es-HN" w:eastAsia="es-ES"/>
        </w:rPr>
      </w:pPr>
      <w:r w:rsidRPr="005F15B8">
        <w:rPr>
          <w:rFonts w:ascii="Times New Roman" w:eastAsiaTheme="minorHAnsi" w:hAnsi="Times New Roman" w:cs="Times New Roman"/>
          <w:b/>
          <w:bCs/>
          <w:sz w:val="24"/>
          <w:szCs w:val="24"/>
          <w:lang w:val="es-HN" w:eastAsia="es-ES"/>
        </w:rPr>
        <w:t>Requisitos</w:t>
      </w:r>
    </w:p>
    <w:p w:rsidR="00024927" w:rsidRPr="005F15B8" w:rsidRDefault="00024927" w:rsidP="00024927">
      <w:pPr>
        <w:ind w:left="360"/>
        <w:contextualSpacing/>
        <w:jc w:val="both"/>
        <w:rPr>
          <w:rFonts w:ascii="Times New Roman" w:eastAsiaTheme="minorHAnsi" w:hAnsi="Times New Roman" w:cs="Times New Roman"/>
          <w:b/>
          <w:sz w:val="24"/>
          <w:szCs w:val="24"/>
          <w:lang w:val="es-HN" w:eastAsia="es-ES"/>
        </w:rPr>
      </w:pPr>
    </w:p>
    <w:p w:rsidR="00024927" w:rsidRPr="005F15B8" w:rsidRDefault="00024927" w:rsidP="00024927">
      <w:pPr>
        <w:numPr>
          <w:ilvl w:val="0"/>
          <w:numId w:val="2"/>
        </w:numPr>
        <w:autoSpaceDE w:val="0"/>
        <w:autoSpaceDN w:val="0"/>
        <w:adjustRightInd w:val="0"/>
        <w:spacing w:after="120" w:line="240" w:lineRule="auto"/>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El Banco exige que los Prestatarios (incluidos los beneficiarios del financiamiento del Banco), </w:t>
      </w:r>
      <w:r w:rsidRPr="005F15B8">
        <w:rPr>
          <w:rFonts w:ascii="Times New Roman" w:eastAsiaTheme="minorHAnsi" w:hAnsi="Times New Roman" w:cs="Times New Roman"/>
          <w:color w:val="000000"/>
          <w:spacing w:val="-6"/>
          <w:sz w:val="24"/>
          <w:szCs w:val="24"/>
          <w:lang w:val="es-HN" w:eastAsia="es-ES"/>
        </w:rPr>
        <w:t>licitantes (postulantes / proponentes), consultores, contratistas y proveedores, todo subcontratista,</w:t>
      </w:r>
      <w:r w:rsidRPr="005F15B8">
        <w:rPr>
          <w:rFonts w:ascii="Times New Roman" w:eastAsiaTheme="minorHAnsi" w:hAnsi="Times New Roman" w:cs="Times New Roman"/>
          <w:color w:val="000000"/>
          <w:sz w:val="24"/>
          <w:szCs w:val="24"/>
          <w:lang w:val="es-HN" w:eastAsia="es-ES"/>
        </w:rPr>
        <w:t xml:space="preserve"> </w:t>
      </w:r>
      <w:proofErr w:type="spellStart"/>
      <w:r w:rsidRPr="005F15B8">
        <w:rPr>
          <w:rFonts w:ascii="Times New Roman" w:eastAsiaTheme="minorHAnsi" w:hAnsi="Times New Roman" w:cs="Times New Roman"/>
          <w:color w:val="000000"/>
          <w:sz w:val="24"/>
          <w:szCs w:val="24"/>
          <w:lang w:val="es-HN" w:eastAsia="es-ES"/>
        </w:rPr>
        <w:t>subconsultor</w:t>
      </w:r>
      <w:proofErr w:type="spellEnd"/>
      <w:r w:rsidRPr="005F15B8">
        <w:rPr>
          <w:rFonts w:ascii="Times New Roman" w:eastAsiaTheme="minorHAnsi" w:hAnsi="Times New Roman" w:cs="Times New Roman"/>
          <w:color w:val="000000"/>
          <w:sz w:val="24"/>
          <w:szCs w:val="24"/>
          <w:lang w:val="es-HN" w:eastAsia="es-E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024927" w:rsidRPr="005F15B8" w:rsidRDefault="00024927" w:rsidP="00024927">
      <w:pPr>
        <w:numPr>
          <w:ilvl w:val="0"/>
          <w:numId w:val="2"/>
        </w:numPr>
        <w:autoSpaceDE w:val="0"/>
        <w:autoSpaceDN w:val="0"/>
        <w:adjustRightInd w:val="0"/>
        <w:spacing w:after="120" w:line="240" w:lineRule="auto"/>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sz w:val="24"/>
          <w:szCs w:val="24"/>
          <w:lang w:val="es-HN" w:eastAsia="es-ES"/>
        </w:rPr>
        <w:t>Con ese fin, el Banco:</w:t>
      </w:r>
    </w:p>
    <w:p w:rsidR="00024927" w:rsidRPr="005F15B8" w:rsidRDefault="00024927" w:rsidP="00024927">
      <w:pPr>
        <w:numPr>
          <w:ilvl w:val="0"/>
          <w:numId w:val="3"/>
        </w:numPr>
        <w:autoSpaceDE w:val="0"/>
        <w:autoSpaceDN w:val="0"/>
        <w:adjustRightInd w:val="0"/>
        <w:spacing w:after="120" w:line="240" w:lineRule="auto"/>
        <w:ind w:left="90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Define de la siguiente manera, a los efectos de esta disposición, las expresiones que se indican a continuación:</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corrupta” se entiende el ofrecimiento, entrega, aceptación o solicitud directa o indirecta de cualquier cosa de valor con el fin de influir indebidamente en el accionar de otra parte.</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colusoria” se entiende todo arreglo entre dos o más partes realizado con la intención de alcanzar un propósito ilícito, como el de influir de forma indebida en el accionar de otra parte.</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coercitiva” se entiende el perjuicio o daño o la amenaza de causar perjuicio o daño directa o indirectamente a cualquiera de las partes o a sus bienes para influir de forma indebida en su accionar.</w:t>
      </w:r>
    </w:p>
    <w:p w:rsidR="00024927" w:rsidRPr="005F15B8" w:rsidRDefault="00024927" w:rsidP="00024927">
      <w:pPr>
        <w:numPr>
          <w:ilvl w:val="0"/>
          <w:numId w:val="4"/>
        </w:numPr>
        <w:autoSpaceDE w:val="0"/>
        <w:autoSpaceDN w:val="0"/>
        <w:adjustRightInd w:val="0"/>
        <w:spacing w:after="120" w:line="240" w:lineRule="auto"/>
        <w:ind w:left="1170" w:hanging="181"/>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Por “práctica de obstrucción” se entiende:</w:t>
      </w:r>
    </w:p>
    <w:p w:rsidR="00024927" w:rsidRPr="005F15B8" w:rsidRDefault="00024927" w:rsidP="00024927">
      <w:pPr>
        <w:numPr>
          <w:ilvl w:val="0"/>
          <w:numId w:val="5"/>
        </w:numPr>
        <w:autoSpaceDE w:val="0"/>
        <w:autoSpaceDN w:val="0"/>
        <w:adjustRightInd w:val="0"/>
        <w:spacing w:after="120" w:line="240" w:lineRule="auto"/>
        <w:ind w:left="153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024927" w:rsidRPr="005F15B8" w:rsidRDefault="00024927" w:rsidP="00024927">
      <w:pPr>
        <w:numPr>
          <w:ilvl w:val="0"/>
          <w:numId w:val="5"/>
        </w:numPr>
        <w:autoSpaceDE w:val="0"/>
        <w:autoSpaceDN w:val="0"/>
        <w:adjustRightInd w:val="0"/>
        <w:spacing w:after="120" w:line="240" w:lineRule="auto"/>
        <w:ind w:left="1530"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los actos destinados a impedir materialmente que el Banco ejerza sus derechos de inspección y auditoría establecidos en el párrafo 2.2 e, que figura a continuación.</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Rechazará toda propuesta de adjudicación si determina que la empresa o persona recomendada para la adjudicación, los miembros de su personal, sus agentes, </w:t>
      </w:r>
      <w:r w:rsidRPr="005F15B8">
        <w:rPr>
          <w:rFonts w:ascii="Times New Roman" w:eastAsiaTheme="minorHAnsi" w:hAnsi="Times New Roman" w:cs="Times New Roman"/>
          <w:color w:val="000000"/>
          <w:sz w:val="24"/>
          <w:szCs w:val="24"/>
          <w:lang w:val="es-HN" w:eastAsia="es-ES"/>
        </w:rPr>
        <w:lastRenderedPageBreak/>
        <w:t>subconsultores, subcontratistas, prestadores de servicios, proveedores o empleados han participado, directa o indirectamente, en prácticas corruptas, fraudulentas, colusorias, coercitivas u obstructivas para competir por el contrato en cuestión.</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sz w:val="24"/>
          <w:szCs w:val="24"/>
          <w:lang w:val="es-HN" w:eastAsia="es-ES"/>
        </w:rPr>
      </w:pPr>
      <w:r w:rsidRPr="005F15B8">
        <w:rPr>
          <w:rFonts w:ascii="Times New Roman" w:eastAsiaTheme="minorHAnsi" w:hAnsi="Times New Roman" w:cs="Times New Roman"/>
          <w:color w:val="000000"/>
          <w:sz w:val="24"/>
          <w:szCs w:val="24"/>
          <w:lang w:val="es-HN" w:eastAsia="es-E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024927" w:rsidRPr="005F15B8" w:rsidRDefault="00024927" w:rsidP="00024927">
      <w:pPr>
        <w:numPr>
          <w:ilvl w:val="0"/>
          <w:numId w:val="3"/>
        </w:numPr>
        <w:autoSpaceDE w:val="0"/>
        <w:autoSpaceDN w:val="0"/>
        <w:adjustRightInd w:val="0"/>
        <w:spacing w:after="0" w:line="240" w:lineRule="auto"/>
        <w:ind w:left="357" w:hanging="357"/>
        <w:jc w:val="both"/>
        <w:rPr>
          <w:rFonts w:ascii="Times New Roman" w:eastAsiaTheme="minorHAnsi" w:hAnsi="Times New Roman" w:cs="Times New Roman"/>
          <w:color w:val="000000"/>
          <w:sz w:val="24"/>
          <w:szCs w:val="24"/>
          <w:lang w:val="es-HN" w:eastAsia="es-ES"/>
        </w:rPr>
      </w:pPr>
      <w:r w:rsidRPr="005F15B8">
        <w:rPr>
          <w:rFonts w:ascii="Times New Roman" w:eastAsiaTheme="minorHAnsi" w:hAnsi="Times New Roman" w:cs="Times New Roman"/>
          <w:color w:val="000000"/>
          <w:sz w:val="24"/>
          <w:szCs w:val="24"/>
          <w:lang w:val="es-HN" w:eastAsia="es-E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5F15B8">
        <w:rPr>
          <w:rFonts w:ascii="Times New Roman" w:eastAsiaTheme="minorHAnsi" w:hAnsi="Times New Roman" w:cs="Times New Roman"/>
          <w:color w:val="000000"/>
          <w:sz w:val="24"/>
          <w:szCs w:val="24"/>
          <w:vertAlign w:val="superscript"/>
          <w:lang w:val="es-HN" w:eastAsia="es-ES"/>
        </w:rPr>
        <w:footnoteReference w:id="1"/>
      </w:r>
      <w:r w:rsidRPr="005F15B8">
        <w:rPr>
          <w:rFonts w:ascii="Times New Roman" w:eastAsiaTheme="minorHAnsi" w:hAnsi="Times New Roman" w:cs="Times New Roman"/>
          <w:color w:val="000000"/>
          <w:sz w:val="24"/>
          <w:szCs w:val="24"/>
          <w:lang w:val="es-HN" w:eastAsia="es-ES"/>
        </w:rPr>
        <w:t>; (ii) ser nominada</w:t>
      </w:r>
      <w:r w:rsidRPr="005F15B8">
        <w:rPr>
          <w:rFonts w:ascii="Times New Roman" w:eastAsiaTheme="minorHAnsi" w:hAnsi="Times New Roman" w:cs="Times New Roman"/>
          <w:color w:val="000000"/>
          <w:sz w:val="24"/>
          <w:szCs w:val="24"/>
          <w:vertAlign w:val="superscript"/>
          <w:lang w:val="es-HN" w:eastAsia="es-ES"/>
        </w:rPr>
        <w:footnoteReference w:id="2"/>
      </w:r>
      <w:r w:rsidRPr="005F15B8">
        <w:rPr>
          <w:rFonts w:ascii="Times New Roman" w:eastAsiaTheme="minorHAnsi" w:hAnsi="Times New Roman" w:cs="Times New Roman"/>
          <w:color w:val="000000"/>
          <w:sz w:val="24"/>
          <w:szCs w:val="24"/>
          <w:lang w:val="es-HN" w:eastAsia="es-ES"/>
        </w:rPr>
        <w:t>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rsidR="00F02139" w:rsidRDefault="00024927" w:rsidP="00A206E7">
      <w:pPr>
        <w:numPr>
          <w:ilvl w:val="0"/>
          <w:numId w:val="3"/>
        </w:numPr>
        <w:spacing w:after="60" w:line="240" w:lineRule="auto"/>
        <w:ind w:left="357" w:hanging="357"/>
        <w:jc w:val="both"/>
      </w:pPr>
      <w:r w:rsidRPr="00024927">
        <w:rPr>
          <w:rFonts w:ascii="Times New Roman" w:eastAsiaTheme="minorHAnsi" w:hAnsi="Times New Roman" w:cs="Times New Roman"/>
          <w:color w:val="000000"/>
          <w:sz w:val="24"/>
          <w:szCs w:val="24"/>
          <w:lang w:val="es-HN" w:eastAsia="es-ES"/>
        </w:rPr>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w:t>
      </w:r>
      <w:r w:rsidRPr="005F15B8">
        <w:rPr>
          <w:rFonts w:ascii="Times New Roman" w:eastAsiaTheme="minorHAnsi" w:hAnsi="Times New Roman" w:cs="Times New Roman"/>
          <w:color w:val="000000"/>
          <w:sz w:val="24"/>
          <w:szCs w:val="24"/>
          <w:vertAlign w:val="superscript"/>
          <w:lang w:val="es-HN" w:eastAsia="es-ES"/>
        </w:rPr>
        <w:footnoteReference w:id="3"/>
      </w:r>
      <w:r w:rsidRPr="00024927">
        <w:rPr>
          <w:rFonts w:ascii="Times New Roman" w:eastAsiaTheme="minorHAnsi" w:hAnsi="Times New Roman" w:cs="Times New Roman"/>
          <w:color w:val="000000"/>
          <w:sz w:val="24"/>
          <w:szCs w:val="24"/>
          <w:lang w:val="es-HN" w:eastAsia="es-ES"/>
        </w:rPr>
        <w:t>todas las cuentas, registros y otros documentos referidos a la presentación de ofertas y la ejecución de contratos, y someterlos a la auditoría de profesionales nombrados por este y hacer las copias que corresponda; entrevistar al personal y otras personas; realizar inspecciones físicas y visitas al emplazamiento, y someter la información a la verificación de terceros.</w:t>
      </w:r>
    </w:p>
    <w:sectPr w:rsidR="00F021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3D" w:rsidRDefault="00220B3D" w:rsidP="00024927">
      <w:pPr>
        <w:spacing w:after="0" w:line="240" w:lineRule="auto"/>
      </w:pPr>
      <w:r>
        <w:separator/>
      </w:r>
    </w:p>
  </w:endnote>
  <w:endnote w:type="continuationSeparator" w:id="0">
    <w:p w:rsidR="00220B3D" w:rsidRDefault="00220B3D" w:rsidP="0002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3D" w:rsidRDefault="00220B3D" w:rsidP="00024927">
      <w:pPr>
        <w:spacing w:after="0" w:line="240" w:lineRule="auto"/>
      </w:pPr>
      <w:r>
        <w:separator/>
      </w:r>
    </w:p>
  </w:footnote>
  <w:footnote w:type="continuationSeparator" w:id="0">
    <w:p w:rsidR="00220B3D" w:rsidRDefault="00220B3D" w:rsidP="00024927">
      <w:pPr>
        <w:spacing w:after="0" w:line="240" w:lineRule="auto"/>
      </w:pPr>
      <w:r>
        <w:continuationSeparator/>
      </w:r>
    </w:p>
  </w:footnote>
  <w:footnote w:id="1">
    <w:p w:rsidR="00024927" w:rsidRPr="005405FB" w:rsidRDefault="00024927" w:rsidP="00024927">
      <w:pPr>
        <w:pStyle w:val="Textonotapie"/>
        <w:rPr>
          <w:sz w:val="18"/>
          <w:szCs w:val="18"/>
          <w:lang w:val="es-ES"/>
        </w:rPr>
      </w:pPr>
      <w:r w:rsidRPr="001E4CD5">
        <w:rPr>
          <w:rStyle w:val="Refdenotaalpie"/>
          <w:rFonts w:asciiTheme="minorHAnsi" w:eastAsiaTheme="majorEastAsia" w:hAnsiTheme="minorHAnsi" w:cstheme="minorHAnsi"/>
          <w:lang w:val="es-ES"/>
        </w:rPr>
        <w:footnoteRef/>
      </w:r>
      <w:r w:rsidRPr="001E4CD5">
        <w:rPr>
          <w:rFonts w:asciiTheme="minorHAnsi" w:hAnsiTheme="minorHAnsi" w:cstheme="minorHAnsi"/>
          <w:lang w:val="es-ES"/>
        </w:rPr>
        <w:tab/>
      </w:r>
      <w:r w:rsidRPr="005405FB">
        <w:rPr>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rsidR="00024927" w:rsidRPr="001E4CD5" w:rsidRDefault="00024927" w:rsidP="00024927">
      <w:pPr>
        <w:pStyle w:val="Textonotapie"/>
        <w:rPr>
          <w:rFonts w:asciiTheme="minorHAnsi" w:hAnsiTheme="minorHAnsi" w:cstheme="minorHAnsi"/>
          <w:lang w:val="es-ES"/>
        </w:rPr>
      </w:pPr>
      <w:r w:rsidRPr="005405FB">
        <w:rPr>
          <w:rStyle w:val="Refdenotaalpie"/>
          <w:rFonts w:eastAsiaTheme="majorEastAsia"/>
          <w:lang w:val="es-ES"/>
        </w:rPr>
        <w:footnoteRef/>
      </w:r>
      <w:r w:rsidRPr="005405FB">
        <w:rPr>
          <w:lang w:val="es-ES"/>
        </w:rPr>
        <w:tab/>
      </w:r>
      <w:r w:rsidRPr="005405FB">
        <w:rPr>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le permiten al licitante cumplir con los requisitos de calificación para la oferta particular; o (ii) ha sido designado por el Prestatario.</w:t>
      </w:r>
    </w:p>
  </w:footnote>
  <w:footnote w:id="3">
    <w:p w:rsidR="00024927" w:rsidRPr="001E4CD5" w:rsidRDefault="00024927" w:rsidP="00024927">
      <w:pPr>
        <w:pStyle w:val="Textonotapie"/>
        <w:rPr>
          <w:rFonts w:asciiTheme="minorHAnsi" w:hAnsiTheme="minorHAnsi" w:cstheme="minorHAnsi"/>
          <w:lang w:val="es-ES"/>
        </w:rPr>
      </w:pPr>
      <w:r w:rsidRPr="001E4CD5">
        <w:rPr>
          <w:rStyle w:val="Refdenotaalpie"/>
          <w:rFonts w:asciiTheme="minorHAnsi" w:eastAsiaTheme="majorEastAsia" w:hAnsiTheme="minorHAnsi" w:cstheme="minorHAnsi"/>
          <w:lang w:val="es-ES"/>
        </w:rPr>
        <w:footnoteRef/>
      </w:r>
      <w:r w:rsidRPr="001E4CD5">
        <w:rPr>
          <w:rFonts w:asciiTheme="minorHAnsi" w:hAnsiTheme="minorHAnsi" w:cstheme="minorHAnsi"/>
          <w:lang w:val="es-ES"/>
        </w:rPr>
        <w:tab/>
      </w:r>
      <w:r w:rsidRPr="005405FB">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D8F1A62"/>
    <w:multiLevelType w:val="hybridMultilevel"/>
    <w:tmpl w:val="3232F9AE"/>
    <w:lvl w:ilvl="0" w:tplc="17B01DE6">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27"/>
    <w:rsid w:val="00024927"/>
    <w:rsid w:val="00220B3D"/>
    <w:rsid w:val="00253915"/>
    <w:rsid w:val="00BC0F06"/>
    <w:rsid w:val="00F214A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2224F-A060-49E6-ADCB-D19EBF89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2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024927"/>
    <w:pPr>
      <w:spacing w:after="60" w:line="240" w:lineRule="auto"/>
      <w:ind w:left="360" w:hanging="360"/>
      <w:jc w:val="both"/>
    </w:pPr>
    <w:rPr>
      <w:rFonts w:ascii="Times New Roman" w:eastAsia="Times New Roman" w:hAnsi="Times New Roman" w:cs="Times New Roman"/>
      <w:sz w:val="20"/>
      <w:szCs w:val="24"/>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024927"/>
    <w:rPr>
      <w:rFonts w:ascii="Times New Roman" w:eastAsia="Times New Roman" w:hAnsi="Times New Roman" w:cs="Times New Roman"/>
      <w:sz w:val="20"/>
      <w:szCs w:val="24"/>
      <w:lang w:val="en-US"/>
    </w:rPr>
  </w:style>
  <w:style w:type="character" w:styleId="Refdenotaalpie">
    <w:name w:val="footnote reference"/>
    <w:basedOn w:val="Fuentedeprrafopredeter"/>
    <w:rsid w:val="00024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Marianne Corporan Tejeda</dc:creator>
  <cp:keywords/>
  <dc:description/>
  <cp:lastModifiedBy>PATRICIA RAMOS</cp:lastModifiedBy>
  <cp:revision>2</cp:revision>
  <dcterms:created xsi:type="dcterms:W3CDTF">2026-05-29T18:01:00Z</dcterms:created>
  <dcterms:modified xsi:type="dcterms:W3CDTF">2026-05-29T18:01:00Z</dcterms:modified>
</cp:coreProperties>
</file>