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D8" w:rsidRDefault="00EF34D8" w:rsidP="00EF34D8">
      <w:pPr>
        <w:spacing w:line="180" w:lineRule="auto"/>
        <w:ind w:left="720" w:hanging="720"/>
        <w:jc w:val="right"/>
        <w:rPr>
          <w:b/>
          <w:bCs/>
          <w:sz w:val="20"/>
          <w:szCs w:val="20"/>
        </w:rPr>
      </w:pPr>
      <w:r>
        <w:rPr>
          <w:b/>
          <w:bCs/>
          <w:sz w:val="20"/>
          <w:szCs w:val="20"/>
        </w:rPr>
        <w:t>DOC-11</w:t>
      </w:r>
    </w:p>
    <w:p w:rsidR="00EF34D8" w:rsidRPr="00083292" w:rsidRDefault="00EF34D8" w:rsidP="00EF34D8">
      <w:pPr>
        <w:jc w:val="center"/>
        <w:rPr>
          <w:b/>
        </w:rPr>
      </w:pPr>
      <w:r w:rsidRPr="00083292">
        <w:rPr>
          <w:b/>
        </w:rPr>
        <w:t>Fraude y Corrupción</w:t>
      </w:r>
    </w:p>
    <w:p w:rsidR="00EF34D8" w:rsidRPr="00083292" w:rsidRDefault="00EF34D8" w:rsidP="00EF34D8">
      <w:pPr>
        <w:jc w:val="center"/>
      </w:pPr>
      <w:r w:rsidRPr="00083292">
        <w:rPr>
          <w:b/>
        </w:rPr>
        <w:t>(El texto de este apéndice no deberá modificarse)</w:t>
      </w:r>
    </w:p>
    <w:p w:rsidR="00EF34D8" w:rsidRPr="00083292" w:rsidRDefault="00EF34D8" w:rsidP="00EF34D8">
      <w:pPr>
        <w:numPr>
          <w:ilvl w:val="0"/>
          <w:numId w:val="1"/>
        </w:numPr>
        <w:spacing w:after="120"/>
        <w:jc w:val="both"/>
        <w:rPr>
          <w:rFonts w:eastAsia="Calibri"/>
          <w:b/>
        </w:rPr>
      </w:pPr>
      <w:r w:rsidRPr="00083292">
        <w:rPr>
          <w:b/>
        </w:rPr>
        <w:t>Propósito</w:t>
      </w:r>
    </w:p>
    <w:p w:rsidR="00EF34D8" w:rsidRPr="00083292" w:rsidRDefault="00EF34D8" w:rsidP="00EF34D8">
      <w:pPr>
        <w:numPr>
          <w:ilvl w:val="1"/>
          <w:numId w:val="1"/>
        </w:numPr>
        <w:spacing w:after="120"/>
        <w:jc w:val="both"/>
        <w:rPr>
          <w:rFonts w:eastAsia="Calibri"/>
        </w:rPr>
      </w:pPr>
      <w:r w:rsidRPr="00083292">
        <w:t>Las Directrices del Banco de Lucha Contra la Corrupción y este Apéndice se aplicarán a las adquisiciones en el marco de las operaciones de Financiamiento para Proyectos de Inversión del Banco.</w:t>
      </w:r>
    </w:p>
    <w:p w:rsidR="00EF34D8" w:rsidRPr="00083292" w:rsidRDefault="00EF34D8" w:rsidP="00EF34D8">
      <w:pPr>
        <w:numPr>
          <w:ilvl w:val="0"/>
          <w:numId w:val="1"/>
        </w:numPr>
        <w:spacing w:after="120"/>
        <w:jc w:val="both"/>
        <w:rPr>
          <w:rFonts w:eastAsia="Calibri"/>
          <w:b/>
        </w:rPr>
      </w:pPr>
      <w:r w:rsidRPr="00083292">
        <w:rPr>
          <w:b/>
        </w:rPr>
        <w:t>Requisitos</w:t>
      </w:r>
    </w:p>
    <w:p w:rsidR="00EF34D8" w:rsidRPr="00083292" w:rsidRDefault="00EF34D8" w:rsidP="00EF34D8">
      <w:pPr>
        <w:numPr>
          <w:ilvl w:val="0"/>
          <w:numId w:val="2"/>
        </w:numPr>
        <w:autoSpaceDE w:val="0"/>
        <w:autoSpaceDN w:val="0"/>
        <w:adjustRightInd w:val="0"/>
        <w:spacing w:after="120"/>
        <w:jc w:val="both"/>
        <w:rPr>
          <w:rFonts w:eastAsia="Calibri"/>
        </w:rPr>
      </w:pPr>
      <w:r w:rsidRPr="00083292">
        <w:rPr>
          <w:color w:val="000000"/>
        </w:rPr>
        <w:t xml:space="preserve">El Banco exige que los Prestatarios (incluidos los beneficiarios del financiamiento del Banco), </w:t>
      </w:r>
      <w:r w:rsidRPr="00083292">
        <w:rPr>
          <w:color w:val="000000"/>
          <w:spacing w:val="-4"/>
        </w:rPr>
        <w:t>licitantes (postulantes / proponentes), consultores, contratistas y proveedores, todo subcontratista,</w:t>
      </w:r>
      <w:r w:rsidRPr="00083292">
        <w:rPr>
          <w:color w:val="000000"/>
        </w:rPr>
        <w:t xml:space="preserve">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rsidR="00EF34D8" w:rsidRPr="00083292" w:rsidRDefault="00EF34D8" w:rsidP="00EF34D8">
      <w:pPr>
        <w:numPr>
          <w:ilvl w:val="0"/>
          <w:numId w:val="2"/>
        </w:numPr>
        <w:autoSpaceDE w:val="0"/>
        <w:autoSpaceDN w:val="0"/>
        <w:adjustRightInd w:val="0"/>
        <w:spacing w:after="120"/>
        <w:jc w:val="both"/>
        <w:rPr>
          <w:rFonts w:eastAsia="Calibri"/>
        </w:rPr>
      </w:pPr>
      <w:r w:rsidRPr="00083292">
        <w:t>Con ese fin, el Banco:</w:t>
      </w:r>
    </w:p>
    <w:p w:rsidR="00EF34D8" w:rsidRPr="00083292" w:rsidRDefault="00EF34D8" w:rsidP="00EF34D8">
      <w:pPr>
        <w:numPr>
          <w:ilvl w:val="0"/>
          <w:numId w:val="3"/>
        </w:numPr>
        <w:autoSpaceDE w:val="0"/>
        <w:autoSpaceDN w:val="0"/>
        <w:adjustRightInd w:val="0"/>
        <w:spacing w:after="120"/>
        <w:ind w:left="1134" w:hanging="708"/>
        <w:jc w:val="both"/>
        <w:rPr>
          <w:rFonts w:eastAsia="Calibri"/>
          <w:color w:val="000000"/>
        </w:rPr>
      </w:pPr>
      <w:r w:rsidRPr="00083292">
        <w:rPr>
          <w:color w:val="000000"/>
        </w:rPr>
        <w:t>Define de la siguiente manera, a los efectos de esta disposición, las expresiones que se indican a continuación:</w:t>
      </w:r>
    </w:p>
    <w:p w:rsidR="00EF34D8" w:rsidRPr="00083292" w:rsidRDefault="00EF34D8" w:rsidP="00EF34D8">
      <w:pPr>
        <w:numPr>
          <w:ilvl w:val="0"/>
          <w:numId w:val="4"/>
        </w:numPr>
        <w:autoSpaceDE w:val="0"/>
        <w:autoSpaceDN w:val="0"/>
        <w:adjustRightInd w:val="0"/>
        <w:spacing w:after="120"/>
        <w:ind w:left="1701" w:hanging="141"/>
        <w:jc w:val="both"/>
        <w:rPr>
          <w:rFonts w:eastAsia="Calibri"/>
          <w:color w:val="000000"/>
        </w:rPr>
      </w:pPr>
      <w:r w:rsidRPr="00083292">
        <w:rPr>
          <w:color w:val="000000"/>
        </w:rPr>
        <w:t>Por “práctica corrupta” se entiende el ofrecimiento, entrega, aceptación o solicitud directa o indirecta de cualquier cosa de valor con el fin de influir indebidamente en el accionar de otra parte.</w:t>
      </w:r>
    </w:p>
    <w:p w:rsidR="00EF34D8" w:rsidRPr="00083292" w:rsidRDefault="00EF34D8" w:rsidP="00EF34D8">
      <w:pPr>
        <w:numPr>
          <w:ilvl w:val="0"/>
          <w:numId w:val="4"/>
        </w:numPr>
        <w:autoSpaceDE w:val="0"/>
        <w:autoSpaceDN w:val="0"/>
        <w:adjustRightInd w:val="0"/>
        <w:spacing w:after="120"/>
        <w:ind w:left="1701" w:hanging="141"/>
        <w:jc w:val="both"/>
        <w:rPr>
          <w:rFonts w:eastAsia="Calibri"/>
          <w:color w:val="000000"/>
        </w:rPr>
      </w:pPr>
      <w:r w:rsidRPr="00083292">
        <w:rPr>
          <w:color w:val="00000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EF34D8" w:rsidRPr="00083292" w:rsidRDefault="00EF34D8" w:rsidP="00EF34D8">
      <w:pPr>
        <w:numPr>
          <w:ilvl w:val="0"/>
          <w:numId w:val="4"/>
        </w:numPr>
        <w:autoSpaceDE w:val="0"/>
        <w:autoSpaceDN w:val="0"/>
        <w:adjustRightInd w:val="0"/>
        <w:spacing w:after="120"/>
        <w:ind w:left="1701" w:hanging="141"/>
        <w:jc w:val="both"/>
        <w:rPr>
          <w:rFonts w:eastAsia="Calibri"/>
          <w:color w:val="000000"/>
        </w:rPr>
      </w:pPr>
      <w:r w:rsidRPr="00083292">
        <w:rPr>
          <w:color w:val="000000"/>
        </w:rPr>
        <w:t>Por “práctica colusoria” se entiende todo arreglo entre dos o más partes realizado con la intención de alcanzar un propósito indebido, como el de influir de forma indebida en el accionar de otra parte.</w:t>
      </w:r>
    </w:p>
    <w:p w:rsidR="00EF34D8" w:rsidRPr="00083292" w:rsidRDefault="00EF34D8" w:rsidP="00EF34D8">
      <w:pPr>
        <w:numPr>
          <w:ilvl w:val="0"/>
          <w:numId w:val="4"/>
        </w:numPr>
        <w:autoSpaceDE w:val="0"/>
        <w:autoSpaceDN w:val="0"/>
        <w:adjustRightInd w:val="0"/>
        <w:spacing w:after="120"/>
        <w:ind w:left="1701" w:hanging="141"/>
        <w:jc w:val="both"/>
        <w:rPr>
          <w:rFonts w:eastAsia="Calibri"/>
          <w:color w:val="000000"/>
        </w:rPr>
      </w:pPr>
      <w:r w:rsidRPr="00083292">
        <w:rPr>
          <w:color w:val="000000"/>
        </w:rPr>
        <w:t>Por “práctica coercitiva” se entiende el perjuicio o daño o la amenaza de causar perjuicio o daño directa o indirectamente a cualquiera de las partes o a sus bienes para influir de forma indebida en su accionar.</w:t>
      </w:r>
    </w:p>
    <w:p w:rsidR="00EF34D8" w:rsidRPr="00083292" w:rsidRDefault="00EF34D8" w:rsidP="00EF34D8">
      <w:pPr>
        <w:numPr>
          <w:ilvl w:val="0"/>
          <w:numId w:val="4"/>
        </w:numPr>
        <w:autoSpaceDE w:val="0"/>
        <w:autoSpaceDN w:val="0"/>
        <w:adjustRightInd w:val="0"/>
        <w:spacing w:after="120"/>
        <w:ind w:left="1701" w:hanging="141"/>
        <w:jc w:val="both"/>
        <w:rPr>
          <w:rFonts w:eastAsia="Calibri"/>
          <w:color w:val="000000"/>
        </w:rPr>
      </w:pPr>
      <w:r w:rsidRPr="00083292">
        <w:rPr>
          <w:color w:val="000000"/>
        </w:rPr>
        <w:t>Por “práctica obstructiva” se entiende:</w:t>
      </w:r>
    </w:p>
    <w:p w:rsidR="00EF34D8" w:rsidRPr="00083292" w:rsidRDefault="00EF34D8" w:rsidP="00EF34D8">
      <w:pPr>
        <w:numPr>
          <w:ilvl w:val="0"/>
          <w:numId w:val="5"/>
        </w:numPr>
        <w:autoSpaceDE w:val="0"/>
        <w:autoSpaceDN w:val="0"/>
        <w:adjustRightInd w:val="0"/>
        <w:spacing w:after="120"/>
        <w:ind w:left="2127" w:hanging="567"/>
        <w:jc w:val="both"/>
        <w:rPr>
          <w:rFonts w:eastAsia="Calibri"/>
          <w:color w:val="000000"/>
        </w:rPr>
      </w:pPr>
      <w:r w:rsidRPr="00083292">
        <w:rPr>
          <w:color w:val="00000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EF34D8" w:rsidRPr="00083292" w:rsidRDefault="00EF34D8" w:rsidP="00EF34D8">
      <w:pPr>
        <w:numPr>
          <w:ilvl w:val="0"/>
          <w:numId w:val="5"/>
        </w:numPr>
        <w:autoSpaceDE w:val="0"/>
        <w:autoSpaceDN w:val="0"/>
        <w:adjustRightInd w:val="0"/>
        <w:spacing w:after="120"/>
        <w:ind w:left="2127" w:hanging="426"/>
        <w:jc w:val="both"/>
        <w:rPr>
          <w:rFonts w:eastAsia="Calibri"/>
          <w:color w:val="000000"/>
        </w:rPr>
      </w:pPr>
      <w:r w:rsidRPr="00083292">
        <w:rPr>
          <w:color w:val="000000"/>
        </w:rPr>
        <w:t>los actos destinados a impedir materialmente que el Banco ejerza sus derechos de inspección y auditoría establecidos en el párrafo 2.2 (e), que figura a continuación.</w:t>
      </w:r>
    </w:p>
    <w:p w:rsidR="00EF34D8" w:rsidRPr="00083292" w:rsidRDefault="00EF34D8" w:rsidP="00EF34D8">
      <w:pPr>
        <w:numPr>
          <w:ilvl w:val="0"/>
          <w:numId w:val="3"/>
        </w:numPr>
        <w:autoSpaceDE w:val="0"/>
        <w:autoSpaceDN w:val="0"/>
        <w:adjustRightInd w:val="0"/>
        <w:spacing w:after="120"/>
        <w:ind w:left="1134" w:hanging="426"/>
        <w:jc w:val="both"/>
        <w:rPr>
          <w:rFonts w:eastAsia="Calibri"/>
          <w:color w:val="000000"/>
        </w:rPr>
      </w:pPr>
      <w:r w:rsidRPr="00083292">
        <w:rPr>
          <w:color w:val="000000"/>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rsidR="00EF34D8" w:rsidRPr="00083292" w:rsidRDefault="00EF34D8" w:rsidP="00EF34D8">
      <w:pPr>
        <w:numPr>
          <w:ilvl w:val="0"/>
          <w:numId w:val="3"/>
        </w:numPr>
        <w:autoSpaceDE w:val="0"/>
        <w:autoSpaceDN w:val="0"/>
        <w:adjustRightInd w:val="0"/>
        <w:spacing w:after="120"/>
        <w:ind w:left="1134" w:hanging="426"/>
        <w:jc w:val="both"/>
        <w:rPr>
          <w:rFonts w:eastAsia="Calibri"/>
        </w:rPr>
      </w:pPr>
      <w:r w:rsidRPr="00083292">
        <w:rPr>
          <w:color w:val="00000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EF34D8" w:rsidRPr="00083292" w:rsidRDefault="00EF34D8" w:rsidP="00EF34D8">
      <w:pPr>
        <w:numPr>
          <w:ilvl w:val="0"/>
          <w:numId w:val="3"/>
        </w:numPr>
        <w:autoSpaceDE w:val="0"/>
        <w:autoSpaceDN w:val="0"/>
        <w:adjustRightInd w:val="0"/>
        <w:spacing w:after="120"/>
        <w:ind w:left="1134" w:hanging="426"/>
        <w:jc w:val="both"/>
        <w:rPr>
          <w:rFonts w:eastAsia="Calibri"/>
          <w:color w:val="000000"/>
        </w:rPr>
      </w:pPr>
      <w:r w:rsidRPr="00083292">
        <w:rPr>
          <w:color w:val="000000"/>
        </w:rPr>
        <w:t>Podrá sancionar, conforme a lo establecido en sus Directrices del Banco de Lucha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Pr="00083292">
        <w:rPr>
          <w:rFonts w:eastAsia="Calibri"/>
          <w:color w:val="000000"/>
          <w:vertAlign w:val="superscript"/>
        </w:rPr>
        <w:footnoteReference w:id="1"/>
      </w:r>
      <w:r w:rsidRPr="00083292">
        <w:rPr>
          <w:color w:val="000000"/>
        </w:rPr>
        <w:t>; (ii) ser nominada</w:t>
      </w:r>
      <w:r w:rsidRPr="00083292">
        <w:rPr>
          <w:rFonts w:eastAsia="Calibri"/>
          <w:color w:val="000000"/>
          <w:vertAlign w:val="superscript"/>
        </w:rPr>
        <w:footnoteReference w:id="2"/>
      </w:r>
      <w:r w:rsidRPr="00083292">
        <w:rPr>
          <w:color w:val="000000"/>
        </w:rPr>
        <w:t xml:space="preserve"> como subcontratista, consultor, fabricante, proveedor o prestador de servicios de otra empresa elegible a la cual se le haya adjudicado un contrato financiado por el Banco, y (iii) recibir los fondos de un préstamo del Banco o participar en la preparación o la ejecución de cualquier proyecto financiado por el Banco. </w:t>
      </w:r>
    </w:p>
    <w:p w:rsidR="00EF34D8" w:rsidRPr="00083292" w:rsidRDefault="00EF34D8" w:rsidP="00EF34D8">
      <w:pPr>
        <w:numPr>
          <w:ilvl w:val="0"/>
          <w:numId w:val="3"/>
        </w:numPr>
        <w:spacing w:after="120"/>
        <w:ind w:left="993" w:hanging="284"/>
        <w:jc w:val="both"/>
        <w:rPr>
          <w:rFonts w:eastAsia="Calibri"/>
          <w:color w:val="000000"/>
        </w:rPr>
      </w:pPr>
      <w:r w:rsidRPr="00083292">
        <w:rPr>
          <w:color w:val="000000"/>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083292">
        <w:rPr>
          <w:rFonts w:eastAsia="Calibri"/>
          <w:color w:val="000000"/>
          <w:vertAlign w:val="superscript"/>
        </w:rPr>
        <w:footnoteReference w:id="3"/>
      </w:r>
      <w:r w:rsidRPr="00083292">
        <w:rPr>
          <w:color w:val="000000"/>
        </w:rPr>
        <w:t xml:space="preserve"> todas las cuentas, registros y otros </w:t>
      </w:r>
      <w:r w:rsidRPr="00083292">
        <w:rPr>
          <w:color w:val="000000"/>
        </w:rPr>
        <w:lastRenderedPageBreak/>
        <w:t>documentos relacionados con la presentación de ofertas y el cumplimiento de los contratos, y someterlos a la auditoría de profesionales nombrados por este.</w:t>
      </w:r>
    </w:p>
    <w:p w:rsidR="00AE0F10" w:rsidRDefault="00AE0F10">
      <w:bookmarkStart w:id="0" w:name="_GoBack"/>
      <w:bookmarkEnd w:id="0"/>
    </w:p>
    <w:sectPr w:rsidR="00AE0F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D8" w:rsidRDefault="00EF34D8" w:rsidP="00EF34D8">
      <w:r>
        <w:separator/>
      </w:r>
    </w:p>
  </w:endnote>
  <w:endnote w:type="continuationSeparator" w:id="0">
    <w:p w:rsidR="00EF34D8" w:rsidRDefault="00EF34D8" w:rsidP="00EF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SeoulNamsan vert"/>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D8" w:rsidRDefault="00EF34D8" w:rsidP="00EF34D8">
      <w:r>
        <w:separator/>
      </w:r>
    </w:p>
  </w:footnote>
  <w:footnote w:type="continuationSeparator" w:id="0">
    <w:p w:rsidR="00EF34D8" w:rsidRDefault="00EF34D8" w:rsidP="00EF34D8">
      <w:r>
        <w:continuationSeparator/>
      </w:r>
    </w:p>
  </w:footnote>
  <w:footnote w:id="1">
    <w:p w:rsidR="00EF34D8" w:rsidRPr="00A55FFF" w:rsidRDefault="00EF34D8" w:rsidP="00EF34D8">
      <w:pPr>
        <w:pStyle w:val="Textonotapie"/>
        <w:tabs>
          <w:tab w:val="left" w:pos="567"/>
        </w:tabs>
        <w:ind w:left="567" w:hanging="567"/>
        <w:rPr>
          <w:sz w:val="18"/>
          <w:szCs w:val="18"/>
        </w:rPr>
      </w:pPr>
      <w:r w:rsidRPr="00A55FFF">
        <w:rPr>
          <w:rStyle w:val="Refdenotaalpie"/>
          <w:sz w:val="18"/>
          <w:szCs w:val="18"/>
        </w:rPr>
        <w:footnoteRef/>
      </w:r>
      <w:r w:rsidRPr="00A55FFF">
        <w:rPr>
          <w:sz w:val="18"/>
          <w:szCs w:val="18"/>
        </w:rPr>
        <w:t xml:space="preserve"> </w:t>
      </w:r>
      <w:r w:rsidRPr="00A55FFF">
        <w:rPr>
          <w:sz w:val="18"/>
          <w:szCs w:val="18"/>
        </w:rPr>
        <w:tab/>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rsidR="00EF34D8" w:rsidRPr="00A55FFF" w:rsidRDefault="00EF34D8" w:rsidP="00EF34D8">
      <w:pPr>
        <w:pStyle w:val="Textonotapie"/>
        <w:tabs>
          <w:tab w:val="left" w:pos="567"/>
        </w:tabs>
        <w:ind w:left="567" w:hanging="567"/>
        <w:rPr>
          <w:sz w:val="18"/>
          <w:szCs w:val="18"/>
        </w:rPr>
      </w:pPr>
      <w:r w:rsidRPr="00A55FFF">
        <w:rPr>
          <w:rStyle w:val="Refdenotaalpie"/>
          <w:sz w:val="18"/>
          <w:szCs w:val="18"/>
        </w:rPr>
        <w:footnoteRef/>
      </w:r>
      <w:r w:rsidRPr="00A55FFF">
        <w:rPr>
          <w:sz w:val="18"/>
          <w:szCs w:val="18"/>
        </w:rPr>
        <w:t xml:space="preserve"> </w:t>
      </w:r>
      <w:r w:rsidRPr="00A55FFF">
        <w:rPr>
          <w:sz w:val="18"/>
          <w:szCs w:val="18"/>
        </w:rPr>
        <w:tab/>
        <w:t xml:space="preserve">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 </w:t>
      </w:r>
    </w:p>
  </w:footnote>
  <w:footnote w:id="3">
    <w:p w:rsidR="00EF34D8" w:rsidRPr="00A55FFF" w:rsidRDefault="00EF34D8" w:rsidP="00EF34D8">
      <w:pPr>
        <w:pStyle w:val="Textonotapie"/>
        <w:tabs>
          <w:tab w:val="left" w:pos="567"/>
        </w:tabs>
        <w:ind w:left="567" w:hanging="567"/>
        <w:rPr>
          <w:sz w:val="18"/>
          <w:szCs w:val="18"/>
        </w:rPr>
      </w:pPr>
      <w:r w:rsidRPr="00A55FFF">
        <w:rPr>
          <w:rStyle w:val="Refdenotaalpie"/>
          <w:sz w:val="18"/>
          <w:szCs w:val="18"/>
        </w:rPr>
        <w:footnoteRef/>
      </w:r>
      <w:r w:rsidRPr="00A55FFF">
        <w:rPr>
          <w:sz w:val="18"/>
          <w:szCs w:val="18"/>
        </w:rPr>
        <w:t xml:space="preserve"> </w:t>
      </w:r>
      <w:r w:rsidRPr="00A55FFF">
        <w:rPr>
          <w:sz w:val="18"/>
          <w:szCs w:val="18"/>
        </w:rPr>
        <w:tab/>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5529"/>
    <w:multiLevelType w:val="hybridMultilevel"/>
    <w:tmpl w:val="D0C21936"/>
    <w:lvl w:ilvl="0" w:tplc="9E14EA3E">
      <w:start w:val="1"/>
      <w:numFmt w:val="lowerLetter"/>
      <w:lvlText w:val="(%1)"/>
      <w:lvlJc w:val="left"/>
      <w:pPr>
        <w:ind w:left="23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108CB"/>
    <w:multiLevelType w:val="hybridMultilevel"/>
    <w:tmpl w:val="F860221A"/>
    <w:lvl w:ilvl="0" w:tplc="0409001B">
      <w:start w:val="1"/>
      <w:numFmt w:val="lowerRoman"/>
      <w:lvlText w:val="%1."/>
      <w:lvlJc w:val="right"/>
      <w:pPr>
        <w:ind w:left="2160" w:hanging="360"/>
      </w:pPr>
      <w:rPr>
        <w:b w:val="0"/>
        <w:lang w:val="en-AU"/>
      </w:rPr>
    </w:lvl>
    <w:lvl w:ilvl="1" w:tplc="9C4A5EF8">
      <w:start w:val="1"/>
      <w:numFmt w:val="lowerRoman"/>
      <w:lvlText w:val="%2)"/>
      <w:lvlJc w:val="left"/>
      <w:pPr>
        <w:ind w:left="3300" w:hanging="78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D8"/>
    <w:rsid w:val="00AE0F10"/>
    <w:rsid w:val="00EF34D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2B03-0BC1-4664-A728-6746FE7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D8"/>
    <w:pPr>
      <w:spacing w:after="0" w:line="240" w:lineRule="auto"/>
    </w:pPr>
    <w:rPr>
      <w:rFonts w:ascii="Times New Roman" w:eastAsia="Batang" w:hAnsi="Times New Roman" w:cs="Times New Roman"/>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qFormat/>
    <w:rsid w:val="00EF34D8"/>
    <w:rPr>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EF34D8"/>
    <w:pPr>
      <w:tabs>
        <w:tab w:val="left" w:pos="360"/>
      </w:tabs>
      <w:suppressAutoHyphens/>
      <w:overflowPunct w:val="0"/>
      <w:autoSpaceDE w:val="0"/>
      <w:autoSpaceDN w:val="0"/>
      <w:adjustRightInd w:val="0"/>
      <w:ind w:left="360" w:hanging="360"/>
      <w:textAlignment w:val="baseline"/>
    </w:pPr>
    <w:rPr>
      <w:sz w:val="20"/>
      <w:szCs w:val="20"/>
      <w:lang w:eastAsia="es-DO"/>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qFormat/>
    <w:rsid w:val="00EF34D8"/>
    <w:rPr>
      <w:rFonts w:ascii="Times New Roman" w:eastAsia="Batang" w:hAnsi="Times New Roman" w:cs="Times New Roman"/>
      <w:sz w:val="20"/>
      <w:szCs w:val="20"/>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Diomeris Yulisa Vasquez Dominguez</dc:creator>
  <cp:keywords/>
  <dc:description/>
  <cp:lastModifiedBy>Diomeris Yulisa Vasquez Dominguez</cp:lastModifiedBy>
  <cp:revision>1</cp:revision>
  <dcterms:created xsi:type="dcterms:W3CDTF">2026-06-03T16:16:00Z</dcterms:created>
  <dcterms:modified xsi:type="dcterms:W3CDTF">2026-06-03T16:17:00Z</dcterms:modified>
</cp:coreProperties>
</file>