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07" w:rsidRDefault="00A34007" w:rsidP="002417DD">
      <w:pPr>
        <w:jc w:val="right"/>
        <w:rPr>
          <w:b/>
          <w:bCs/>
        </w:rPr>
      </w:pPr>
      <w:r>
        <w:rPr>
          <w:b/>
          <w:bCs/>
        </w:rPr>
        <w:t>DOC-4</w:t>
      </w:r>
    </w:p>
    <w:p w:rsidR="007F2307" w:rsidRDefault="007F2307" w:rsidP="007F2307">
      <w:pPr>
        <w:rPr>
          <w:b/>
          <w:bCs/>
        </w:rPr>
      </w:pPr>
    </w:p>
    <w:p w:rsidR="00CC0DD9" w:rsidRDefault="00944FBA" w:rsidP="00944FBA">
      <w:pPr>
        <w:jc w:val="center"/>
        <w:rPr>
          <w:b/>
          <w:bCs/>
        </w:rPr>
      </w:pPr>
      <w:r>
        <w:rPr>
          <w:b/>
          <w:bCs/>
        </w:rPr>
        <w:t xml:space="preserve">Especificaciones Técnicas </w:t>
      </w:r>
    </w:p>
    <w:p w:rsidR="00944FBA" w:rsidRDefault="00944FBA" w:rsidP="00944FBA">
      <w:pPr>
        <w:jc w:val="center"/>
        <w:rPr>
          <w:b/>
          <w:bCs/>
        </w:rPr>
      </w:pPr>
      <w:r>
        <w:rPr>
          <w:b/>
          <w:bCs/>
        </w:rPr>
        <w:t>(OBLIGATORIO)</w:t>
      </w:r>
    </w:p>
    <w:tbl>
      <w:tblPr>
        <w:tblW w:w="171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795"/>
        <w:gridCol w:w="3545"/>
        <w:gridCol w:w="1112"/>
        <w:gridCol w:w="1394"/>
        <w:gridCol w:w="2004"/>
        <w:gridCol w:w="2198"/>
        <w:gridCol w:w="1762"/>
        <w:gridCol w:w="1762"/>
      </w:tblGrid>
      <w:tr w:rsidR="004D5ACB" w:rsidTr="004D5ACB">
        <w:trPr>
          <w:trHeight w:val="500"/>
          <w:tblHeader/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Ítem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Servicio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Especificaciones Técnicas</w:t>
            </w:r>
          </w:p>
        </w:tc>
        <w:tc>
          <w:tcPr>
            <w:tcW w:w="1082" w:type="dxa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Plazo de Entrega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Entregables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4D5ACB" w:rsidRDefault="004D5ACB" w:rsidP="005141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Criterios de Aceptación</w:t>
            </w:r>
          </w:p>
        </w:tc>
        <w:tc>
          <w:tcPr>
            <w:tcW w:w="1732" w:type="dxa"/>
            <w:shd w:val="clear" w:color="auto" w:fill="D5DCE4" w:themeFill="text2" w:themeFillTint="33"/>
          </w:tcPr>
          <w:p w:rsidR="004D5ACB" w:rsidRDefault="004D5ACB" w:rsidP="00CC0DD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Especificaciones Técnicas Ofrecidas por el proveedor</w:t>
            </w:r>
          </w:p>
        </w:tc>
        <w:tc>
          <w:tcPr>
            <w:tcW w:w="1717" w:type="dxa"/>
            <w:shd w:val="clear" w:color="auto" w:fill="D5DCE4" w:themeFill="text2" w:themeFillTint="33"/>
          </w:tcPr>
          <w:p w:rsidR="00127B9D" w:rsidRDefault="00127B9D" w:rsidP="00CC0DD9">
            <w:pPr>
              <w:jc w:val="center"/>
              <w:rPr>
                <w:b/>
              </w:rPr>
            </w:pPr>
            <w:r>
              <w:rPr>
                <w:b/>
              </w:rPr>
              <w:t>Cumple/</w:t>
            </w:r>
          </w:p>
          <w:p w:rsidR="004D5ACB" w:rsidRDefault="00127B9D" w:rsidP="00CC0DD9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 w:rsidR="004D5ACB">
              <w:rPr>
                <w:b/>
              </w:rPr>
              <w:t>Cumple</w:t>
            </w:r>
          </w:p>
        </w:tc>
      </w:tr>
      <w:tr w:rsidR="004D5ACB" w:rsidTr="004D5ACB">
        <w:trPr>
          <w:trHeight w:val="730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bookmarkStart w:id="0" w:name="_GoBack" w:colFirst="8" w:colLast="8"/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Configuración inicial de la plataforma de facturación electrónica (e-CF) conforme a normativas DGII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Configuración inicial de la plataforma, parametrización de tipos de e-CF, configuración fiscal conforme a Ley 32-23 y normas DGII.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15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Plataforma configurada.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Configuración validada por CORAAMOCA e INAPA.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bookmarkEnd w:id="0"/>
      <w:tr w:rsidR="004D5ACB" w:rsidTr="004D5ACB">
        <w:trPr>
          <w:trHeight w:val="987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Integración de la plataforma de gestión comercial con el sistema de emisión de Comprobantes Fiscales Electrónicos (e-CF)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Integración con ODOO versión 17 mediante API REST y/o SOAP. Recepción, transmisión y consulta de comprobantes electrónicos.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30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Integración funcional con ODOO.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Integración validada mediante pruebas satisfactorias.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987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Capacitación para el personal de INAPA-CORAAMOCA en el uso de la plataforma de facturación electrónica</w:t>
            </w:r>
          </w:p>
        </w:tc>
        <w:tc>
          <w:tcPr>
            <w:tcW w:w="0" w:type="auto"/>
            <w:vAlign w:val="center"/>
            <w:hideMark/>
          </w:tcPr>
          <w:p w:rsidR="004D5ACB" w:rsidRPr="00906D93" w:rsidRDefault="004D5ACB" w:rsidP="00514192">
            <w:pPr>
              <w:jc w:val="both"/>
            </w:pPr>
            <w:r w:rsidRPr="00906D93">
              <w:t>Capacitación técnica y operativa para seis (6) colaboradores de INAPA y seis (6) colaboradores de CORAAMOCA.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2 jornadas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Antes de la puesta en producción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Materiales, listas de asistencia y certificados.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Capacitación recibida y aceptada por los participantes.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744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Servicio de soporte técnico y mantenimiento mensual para la plataforma (primer año)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Soporte 24/7, tiempo máximo de respuesta de 4 horas, mesa de ayuda, mantenimiento correctivo y evolutivo.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12 meses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Durante la vigencia contractual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Reportes mensuales de soporte.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Cumplimiento del SLA establecido.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730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Generación y validación de certificados digitales para firma electrónica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Generación, instalación y configuración de certificados digitales X.509 con algoritmo SHA-256.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30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Certificados instalados y operativos.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Certificados validados y funcionales.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744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Pruebas de homologación ante la DGII para garantizar cumplimiento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Ejecución de pruebas funcionales, técnicas y de certificación ante la DGII hasta obtener aprobación.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30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Informe de homologación y evidencias.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Homologación satisfactoria ante la DGII.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730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Implementación de reportes electrónicos para auditoría fiscal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Configuración de reportes de comprobantes emitidos, recibidos, notas de crédito, notas de débito e historial de transacciones.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30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Reportes implementados y operativos.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Validación por usuarios designados.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744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1A7757">
            <w:pPr>
              <w:jc w:val="both"/>
            </w:pPr>
            <w:r>
              <w:t>Configuración de respaldo y almacenamiento de e-CF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Implementación de almacenamiento seguro de comprobantes electrónicos en formato XML y PDF con conservación mínima de diez (10) años.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30 días calendario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Repositorio documental habilitado y respaldado.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Verificación satisfactoria del almacenamiento.</w:t>
            </w:r>
          </w:p>
        </w:tc>
        <w:tc>
          <w:tcPr>
            <w:tcW w:w="1732" w:type="dxa"/>
          </w:tcPr>
          <w:p w:rsidR="004D5ACB" w:rsidRDefault="004D5ACB" w:rsidP="00514192">
            <w:pPr>
              <w:jc w:val="center"/>
            </w:pPr>
          </w:p>
        </w:tc>
        <w:tc>
          <w:tcPr>
            <w:tcW w:w="1717" w:type="dxa"/>
          </w:tcPr>
          <w:p w:rsidR="004D5ACB" w:rsidRDefault="004D5ACB" w:rsidP="00514192">
            <w:pPr>
              <w:jc w:val="center"/>
            </w:pPr>
          </w:p>
        </w:tc>
      </w:tr>
      <w:tr w:rsidR="004D5ACB" w:rsidTr="004D5ACB">
        <w:trPr>
          <w:trHeight w:val="987"/>
          <w:tblCellSpacing w:w="15" w:type="dxa"/>
        </w:trPr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>Servicio de generación de hasta 300,000 facturas electrónicas durante doce (12) meses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pPr>
              <w:jc w:val="both"/>
            </w:pPr>
            <w:r>
              <w:t xml:space="preserve">Gestión de hasta 300,000 e-CF, infraestructura cloud, disponibilidad mínima 99.9%, acceso para mínimo 10 usuarios, ambiente </w:t>
            </w:r>
            <w:proofErr w:type="spellStart"/>
            <w:r>
              <w:t>Sandbox</w:t>
            </w:r>
            <w:proofErr w:type="spellEnd"/>
            <w:r>
              <w:t>, seguridad TLS/SSL, VPC, WAF y Anti-</w:t>
            </w:r>
            <w:proofErr w:type="spellStart"/>
            <w:r>
              <w:t>DDoS</w:t>
            </w:r>
            <w:proofErr w:type="spellEnd"/>
            <w:r>
              <w:t>.</w:t>
            </w:r>
          </w:p>
        </w:tc>
        <w:tc>
          <w:tcPr>
            <w:tcW w:w="1082" w:type="dxa"/>
            <w:vAlign w:val="center"/>
            <w:hideMark/>
          </w:tcPr>
          <w:p w:rsidR="004D5ACB" w:rsidRDefault="004D5ACB" w:rsidP="00514192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12 meses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Servicio en producción y reportes mensuales de consumo.</w:t>
            </w:r>
          </w:p>
        </w:tc>
        <w:tc>
          <w:tcPr>
            <w:tcW w:w="0" w:type="auto"/>
            <w:vAlign w:val="center"/>
            <w:hideMark/>
          </w:tcPr>
          <w:p w:rsidR="004D5ACB" w:rsidRDefault="004D5ACB" w:rsidP="00514192">
            <w:r>
              <w:t>Operación continua y cumplimiento de los niveles de servicio.</w:t>
            </w:r>
          </w:p>
        </w:tc>
        <w:tc>
          <w:tcPr>
            <w:tcW w:w="1732" w:type="dxa"/>
          </w:tcPr>
          <w:p w:rsidR="004D5ACB" w:rsidRDefault="004D5ACB" w:rsidP="00514192"/>
        </w:tc>
        <w:tc>
          <w:tcPr>
            <w:tcW w:w="1717" w:type="dxa"/>
          </w:tcPr>
          <w:p w:rsidR="004D5ACB" w:rsidRDefault="004D5ACB" w:rsidP="00514192"/>
        </w:tc>
      </w:tr>
    </w:tbl>
    <w:p w:rsidR="004D5ACB" w:rsidRDefault="004D5ACB" w:rsidP="00944FBA">
      <w:pPr>
        <w:spacing w:after="160" w:line="259" w:lineRule="auto"/>
        <w:rPr>
          <w:b/>
          <w:bCs/>
        </w:rPr>
      </w:pPr>
    </w:p>
    <w:p w:rsidR="005B29DA" w:rsidRPr="005B29DA" w:rsidRDefault="005B29DA" w:rsidP="005B29DA">
      <w:pPr>
        <w:tabs>
          <w:tab w:val="center" w:pos="4252"/>
          <w:tab w:val="right" w:pos="8504"/>
        </w:tabs>
        <w:rPr>
          <w:rFonts w:eastAsia="Calibri"/>
          <w:sz w:val="20"/>
          <w:szCs w:val="22"/>
          <w:lang w:val="es-ES" w:eastAsia="en-US"/>
        </w:rPr>
      </w:pPr>
      <w:r w:rsidRPr="005B29DA">
        <w:rPr>
          <w:rFonts w:eastAsia="Calibri"/>
          <w:sz w:val="20"/>
          <w:szCs w:val="22"/>
          <w:lang w:val="es-ES" w:eastAsia="en-US"/>
        </w:rPr>
        <w:t xml:space="preserve">EMPRESA: ___________________________________________________     </w:t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  <w:t>FECHA: ______________________________</w:t>
      </w:r>
    </w:p>
    <w:p w:rsidR="005B29DA" w:rsidRPr="005B29DA" w:rsidRDefault="005B29DA" w:rsidP="005B29DA">
      <w:pPr>
        <w:tabs>
          <w:tab w:val="center" w:pos="4252"/>
          <w:tab w:val="right" w:pos="8504"/>
        </w:tabs>
        <w:rPr>
          <w:rFonts w:eastAsia="Calibri"/>
          <w:sz w:val="20"/>
          <w:szCs w:val="22"/>
          <w:lang w:val="es-ES" w:eastAsia="en-US"/>
        </w:rPr>
      </w:pP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</w:p>
    <w:p w:rsidR="005B29DA" w:rsidRPr="005B29DA" w:rsidRDefault="005B29DA" w:rsidP="005B29DA">
      <w:pPr>
        <w:tabs>
          <w:tab w:val="center" w:pos="4252"/>
          <w:tab w:val="right" w:pos="8504"/>
        </w:tabs>
        <w:rPr>
          <w:rFonts w:eastAsia="Calibri"/>
          <w:sz w:val="20"/>
          <w:szCs w:val="22"/>
          <w:lang w:val="es-ES" w:eastAsia="en-US"/>
        </w:rPr>
      </w:pP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</w:p>
    <w:p w:rsidR="005B29DA" w:rsidRPr="005B29DA" w:rsidRDefault="005B29DA" w:rsidP="005B29DA">
      <w:pPr>
        <w:tabs>
          <w:tab w:val="center" w:pos="4252"/>
          <w:tab w:val="right" w:pos="8504"/>
        </w:tabs>
        <w:rPr>
          <w:rFonts w:eastAsia="Calibri"/>
          <w:sz w:val="20"/>
          <w:szCs w:val="22"/>
          <w:lang w:val="es-ES" w:eastAsia="en-US"/>
        </w:rPr>
      </w:pPr>
    </w:p>
    <w:p w:rsidR="005B29DA" w:rsidRPr="005B29DA" w:rsidRDefault="005B29DA" w:rsidP="005B29DA">
      <w:pPr>
        <w:tabs>
          <w:tab w:val="center" w:pos="4252"/>
          <w:tab w:val="right" w:pos="8504"/>
        </w:tabs>
        <w:rPr>
          <w:rFonts w:eastAsia="Calibri"/>
          <w:sz w:val="18"/>
          <w:szCs w:val="22"/>
          <w:lang w:eastAsia="en-US"/>
        </w:rPr>
      </w:pPr>
      <w:r w:rsidRPr="005B29DA">
        <w:rPr>
          <w:rFonts w:eastAsia="Calibri"/>
          <w:sz w:val="20"/>
          <w:szCs w:val="22"/>
          <w:lang w:val="es-ES" w:eastAsia="en-US"/>
        </w:rPr>
        <w:t>FIRMAY SELLO: ________________________________________</w:t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  <w:r w:rsidRPr="005B29DA">
        <w:rPr>
          <w:rFonts w:eastAsia="Calibri"/>
          <w:sz w:val="20"/>
          <w:szCs w:val="22"/>
          <w:lang w:val="es-ES" w:eastAsia="en-US"/>
        </w:rPr>
        <w:tab/>
      </w:r>
    </w:p>
    <w:p w:rsidR="005B29DA" w:rsidRPr="005B29DA" w:rsidRDefault="005B29DA" w:rsidP="005B29DA">
      <w:pPr>
        <w:widowControl w:val="0"/>
        <w:spacing w:before="242" w:line="280" w:lineRule="auto"/>
        <w:jc w:val="both"/>
        <w:rPr>
          <w:lang w:eastAsia="en-US"/>
        </w:rPr>
      </w:pPr>
    </w:p>
    <w:sectPr w:rsidR="005B29DA" w:rsidRPr="005B29DA" w:rsidSect="00A34007">
      <w:pgSz w:w="20160" w:h="12240" w:orient="landscape" w:code="5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092B9B"/>
    <w:rsid w:val="00127B9D"/>
    <w:rsid w:val="001A7757"/>
    <w:rsid w:val="002417DD"/>
    <w:rsid w:val="00253915"/>
    <w:rsid w:val="00255429"/>
    <w:rsid w:val="002F1605"/>
    <w:rsid w:val="00432523"/>
    <w:rsid w:val="004D5ACB"/>
    <w:rsid w:val="005A1C1E"/>
    <w:rsid w:val="005B29DA"/>
    <w:rsid w:val="00652BA3"/>
    <w:rsid w:val="0066743C"/>
    <w:rsid w:val="007F2307"/>
    <w:rsid w:val="00841B58"/>
    <w:rsid w:val="00944FBA"/>
    <w:rsid w:val="009951BC"/>
    <w:rsid w:val="00A34007"/>
    <w:rsid w:val="00AE579C"/>
    <w:rsid w:val="00BC2AC6"/>
    <w:rsid w:val="00CC0DD9"/>
    <w:rsid w:val="00D30147"/>
    <w:rsid w:val="00E90A32"/>
    <w:rsid w:val="00F214A9"/>
    <w:rsid w:val="00F433C3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56AA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10</cp:revision>
  <dcterms:created xsi:type="dcterms:W3CDTF">2026-05-15T15:53:00Z</dcterms:created>
  <dcterms:modified xsi:type="dcterms:W3CDTF">2026-06-03T18:36:00Z</dcterms:modified>
</cp:coreProperties>
</file>